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55"/>
        <w:gridCol w:w="2439"/>
        <w:gridCol w:w="3827"/>
        <w:gridCol w:w="1501"/>
      </w:tblGrid>
      <w:tr w:rsidR="00C92477" w:rsidRPr="004704DD" w14:paraId="0811D05A" w14:textId="77777777" w:rsidTr="006A7328">
        <w:trPr>
          <w:cantSplit/>
          <w:trHeight w:val="411"/>
          <w:tblHeader/>
        </w:trPr>
        <w:tc>
          <w:tcPr>
            <w:tcW w:w="255" w:type="dxa"/>
            <w:tcBorders>
              <w:top w:val="single" w:sz="6" w:space="0" w:color="auto"/>
              <w:left w:val="single" w:sz="6" w:space="0" w:color="auto"/>
            </w:tcBorders>
          </w:tcPr>
          <w:p w14:paraId="2880ACE2" w14:textId="77777777" w:rsidR="00C92477" w:rsidRPr="004704DD" w:rsidRDefault="00C92477" w:rsidP="006A7328">
            <w:pPr>
              <w:pStyle w:val="BodyText"/>
              <w:spacing w:before="120" w:after="120"/>
              <w:rPr>
                <w:rFonts w:ascii="Arial" w:hAnsi="Arial" w:cs="Arial"/>
              </w:rPr>
            </w:pPr>
            <w:bookmarkStart w:id="0" w:name="OLE_LINK1"/>
          </w:p>
        </w:tc>
        <w:tc>
          <w:tcPr>
            <w:tcW w:w="776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14:paraId="6B7524CE" w14:textId="77777777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t>Hampshire County Council</w:t>
            </w:r>
          </w:p>
        </w:tc>
      </w:tr>
      <w:tr w:rsidR="00C92477" w:rsidRPr="004704DD" w14:paraId="491F3C05" w14:textId="77777777" w:rsidTr="006A7328">
        <w:trPr>
          <w:trHeight w:val="465"/>
          <w:tblHeader/>
        </w:trPr>
        <w:tc>
          <w:tcPr>
            <w:tcW w:w="255" w:type="dxa"/>
            <w:tcBorders>
              <w:left w:val="single" w:sz="6" w:space="0" w:color="auto"/>
            </w:tcBorders>
          </w:tcPr>
          <w:p w14:paraId="2E72B42F" w14:textId="77777777" w:rsidR="00C92477" w:rsidRPr="004704DD" w:rsidRDefault="00C92477" w:rsidP="006A7328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6266" w:type="dxa"/>
            <w:gridSpan w:val="2"/>
          </w:tcPr>
          <w:p w14:paraId="01773E5A" w14:textId="77777777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t xml:space="preserve">Schools Forum </w:t>
            </w:r>
          </w:p>
        </w:tc>
        <w:tc>
          <w:tcPr>
            <w:tcW w:w="1501" w:type="dxa"/>
            <w:tcBorders>
              <w:right w:val="single" w:sz="6" w:space="0" w:color="auto"/>
            </w:tcBorders>
          </w:tcPr>
          <w:p w14:paraId="569FBCEA" w14:textId="7156B814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fldChar w:fldCharType="begin"/>
            </w:r>
            <w:r w:rsidRPr="004704DD">
              <w:rPr>
                <w:rFonts w:ascii="Arial" w:hAnsi="Arial" w:cs="Arial"/>
              </w:rPr>
              <w:instrText xml:space="preserve"> FILLIN \d "Item" \* MERGEFORMAT </w:instrText>
            </w:r>
            <w:r w:rsidRPr="004704DD">
              <w:rPr>
                <w:rFonts w:ascii="Arial" w:hAnsi="Arial" w:cs="Arial"/>
              </w:rPr>
              <w:fldChar w:fldCharType="separate"/>
            </w:r>
            <w:r w:rsidRPr="004704DD">
              <w:rPr>
                <w:rFonts w:ascii="Arial" w:hAnsi="Arial" w:cs="Arial"/>
              </w:rPr>
              <w:t>Item</w:t>
            </w:r>
            <w:r w:rsidRPr="004704DD">
              <w:rPr>
                <w:rFonts w:ascii="Arial" w:hAnsi="Arial" w:cs="Arial"/>
              </w:rPr>
              <w:fldChar w:fldCharType="end"/>
            </w:r>
            <w:r w:rsidRPr="004704DD">
              <w:rPr>
                <w:rFonts w:ascii="Arial" w:hAnsi="Arial" w:cs="Arial"/>
              </w:rPr>
              <w:t xml:space="preserve"> </w:t>
            </w:r>
            <w:r w:rsidR="002E4DB3">
              <w:rPr>
                <w:rFonts w:ascii="Arial" w:hAnsi="Arial" w:cs="Arial"/>
              </w:rPr>
              <w:t>5</w:t>
            </w:r>
          </w:p>
        </w:tc>
      </w:tr>
      <w:tr w:rsidR="00C92477" w:rsidRPr="004704DD" w14:paraId="43776058" w14:textId="77777777" w:rsidTr="006A7328">
        <w:trPr>
          <w:trHeight w:val="519"/>
          <w:tblHeader/>
        </w:trPr>
        <w:tc>
          <w:tcPr>
            <w:tcW w:w="255" w:type="dxa"/>
            <w:tcBorders>
              <w:left w:val="single" w:sz="6" w:space="0" w:color="auto"/>
            </w:tcBorders>
          </w:tcPr>
          <w:p w14:paraId="4E4E570B" w14:textId="77777777" w:rsidR="00C92477" w:rsidRPr="004704DD" w:rsidRDefault="00C92477" w:rsidP="006A7328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439" w:type="dxa"/>
          </w:tcPr>
          <w:p w14:paraId="2E6E28EC" w14:textId="27FAAA9D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May 2023</w:t>
            </w:r>
          </w:p>
        </w:tc>
        <w:tc>
          <w:tcPr>
            <w:tcW w:w="5328" w:type="dxa"/>
            <w:gridSpan w:val="2"/>
            <w:tcBorders>
              <w:right w:val="single" w:sz="6" w:space="0" w:color="auto"/>
            </w:tcBorders>
          </w:tcPr>
          <w:p w14:paraId="5324BD1A" w14:textId="77777777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</w:p>
        </w:tc>
      </w:tr>
      <w:tr w:rsidR="00C92477" w:rsidRPr="004704DD" w14:paraId="738D1788" w14:textId="77777777" w:rsidTr="006A7328">
        <w:trPr>
          <w:cantSplit/>
          <w:trHeight w:val="586"/>
          <w:tblHeader/>
        </w:trPr>
        <w:tc>
          <w:tcPr>
            <w:tcW w:w="255" w:type="dxa"/>
            <w:tcBorders>
              <w:left w:val="single" w:sz="6" w:space="0" w:color="auto"/>
            </w:tcBorders>
          </w:tcPr>
          <w:p w14:paraId="55B7D7E6" w14:textId="77777777" w:rsidR="00C92477" w:rsidRPr="004704DD" w:rsidRDefault="00C92477" w:rsidP="006A7328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767" w:type="dxa"/>
            <w:gridSpan w:val="3"/>
            <w:tcBorders>
              <w:right w:val="single" w:sz="6" w:space="0" w:color="auto"/>
            </w:tcBorders>
          </w:tcPr>
          <w:p w14:paraId="08E27AC9" w14:textId="77777777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t xml:space="preserve">Schools Budget Update </w:t>
            </w:r>
            <w:r>
              <w:rPr>
                <w:rFonts w:ascii="Arial" w:hAnsi="Arial" w:cs="Arial"/>
              </w:rPr>
              <w:t>2022/23</w:t>
            </w:r>
          </w:p>
        </w:tc>
      </w:tr>
      <w:tr w:rsidR="00C92477" w:rsidRPr="004704DD" w14:paraId="2A8FD6E0" w14:textId="77777777" w:rsidTr="006A7328">
        <w:trPr>
          <w:cantSplit/>
          <w:trHeight w:val="395"/>
          <w:tblHeader/>
        </w:trPr>
        <w:tc>
          <w:tcPr>
            <w:tcW w:w="255" w:type="dxa"/>
            <w:tcBorders>
              <w:left w:val="single" w:sz="6" w:space="0" w:color="auto"/>
              <w:bottom w:val="single" w:sz="6" w:space="0" w:color="auto"/>
            </w:tcBorders>
          </w:tcPr>
          <w:p w14:paraId="06CCA430" w14:textId="77777777" w:rsidR="00C92477" w:rsidRPr="004704DD" w:rsidRDefault="00C92477" w:rsidP="006A7328">
            <w:pPr>
              <w:pStyle w:val="Body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76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3C36893" w14:textId="77777777" w:rsidR="00C92477" w:rsidRPr="004704DD" w:rsidRDefault="00C92477" w:rsidP="006A7328">
            <w:pPr>
              <w:pStyle w:val="TableText"/>
              <w:rPr>
                <w:rFonts w:ascii="Arial" w:hAnsi="Arial" w:cs="Arial"/>
              </w:rPr>
            </w:pPr>
            <w:r w:rsidRPr="004704DD">
              <w:rPr>
                <w:rFonts w:ascii="Arial" w:hAnsi="Arial" w:cs="Arial"/>
              </w:rPr>
              <w:t>Report of the Director of Corporate Resources – Corporate Services and Director of Children’s Services</w:t>
            </w:r>
          </w:p>
        </w:tc>
      </w:tr>
    </w:tbl>
    <w:p w14:paraId="1D20C11D" w14:textId="6953DE23" w:rsidR="002A5429" w:rsidRDefault="002A5429" w:rsidP="002A5429">
      <w:pPr>
        <w:spacing w:before="120"/>
        <w:rPr>
          <w:rFonts w:ascii="Arial" w:hAnsi="Arial" w:cs="Arial"/>
          <w:color w:val="FF0000"/>
          <w:szCs w:val="24"/>
        </w:rPr>
      </w:pPr>
      <w:r w:rsidRPr="004704DD">
        <w:rPr>
          <w:rFonts w:ascii="Arial" w:hAnsi="Arial" w:cs="Arial"/>
          <w:szCs w:val="24"/>
        </w:rPr>
        <w:t xml:space="preserve">Contact: Andrew Minall, </w:t>
      </w:r>
      <w:r w:rsidRPr="0047411A">
        <w:rPr>
          <w:rFonts w:ascii="Arial" w:hAnsi="Arial" w:cs="Arial"/>
          <w:szCs w:val="24"/>
        </w:rPr>
        <w:t>03707 790138</w:t>
      </w:r>
      <w:r w:rsidRPr="004704DD">
        <w:rPr>
          <w:rFonts w:ascii="Arial" w:hAnsi="Arial" w:cs="Arial"/>
          <w:szCs w:val="24"/>
        </w:rPr>
        <w:t>;</w:t>
      </w:r>
      <w:r w:rsidRPr="00007AEF">
        <w:rPr>
          <w:rFonts w:ascii="Arial" w:hAnsi="Arial" w:cs="Arial"/>
          <w:color w:val="FF0000"/>
          <w:szCs w:val="24"/>
        </w:rPr>
        <w:t xml:space="preserve"> </w:t>
      </w:r>
      <w:hyperlink r:id="rId12" w:history="1">
        <w:r w:rsidRPr="00A312D4">
          <w:rPr>
            <w:rStyle w:val="Hyperlink"/>
            <w:rFonts w:ascii="Arial" w:hAnsi="Arial" w:cs="Arial"/>
            <w:szCs w:val="24"/>
          </w:rPr>
          <w:t>andrew.minall@hants.gov.uk</w:t>
        </w:r>
      </w:hyperlink>
      <w:bookmarkEnd w:id="0"/>
      <w:r>
        <w:rPr>
          <w:rStyle w:val="Hyperlink"/>
          <w:rFonts w:ascii="Arial" w:hAnsi="Arial" w:cs="Arial"/>
          <w:szCs w:val="24"/>
        </w:rPr>
        <w:t xml:space="preserve"> </w:t>
      </w:r>
    </w:p>
    <w:p w14:paraId="0C9D26FE" w14:textId="77777777" w:rsidR="002A5429" w:rsidRDefault="002A5429" w:rsidP="002A5429">
      <w:pPr>
        <w:rPr>
          <w:rStyle w:val="Hyperlink"/>
          <w:rFonts w:ascii="Arial" w:hAnsi="Arial" w:cs="Arial"/>
        </w:rPr>
      </w:pPr>
      <w:r>
        <w:rPr>
          <w:rFonts w:ascii="Arial" w:hAnsi="Arial" w:cs="Arial"/>
          <w:color w:val="FF0000"/>
          <w:szCs w:val="24"/>
        </w:rPr>
        <w:tab/>
      </w:r>
      <w:r w:rsidRPr="00EA0336">
        <w:rPr>
          <w:rFonts w:ascii="Arial" w:hAnsi="Arial" w:cs="Arial"/>
          <w:szCs w:val="24"/>
        </w:rPr>
        <w:t xml:space="preserve">    Annabel Hodder</w:t>
      </w:r>
      <w:r w:rsidRPr="00EA0336">
        <w:rPr>
          <w:rFonts w:ascii="Arial" w:hAnsi="Arial" w:cs="Arial"/>
        </w:rPr>
        <w:t>,</w:t>
      </w:r>
      <w:r w:rsidRPr="00F82ABB">
        <w:rPr>
          <w:rFonts w:ascii="Arial" w:hAnsi="Arial" w:cs="Arial"/>
        </w:rPr>
        <w:t xml:space="preserve"> </w:t>
      </w:r>
      <w:hyperlink r:id="rId13" w:history="1">
        <w:r w:rsidRPr="00751AD4">
          <w:rPr>
            <w:rStyle w:val="Hyperlink"/>
            <w:rFonts w:ascii="Arial" w:hAnsi="Arial" w:cs="Arial"/>
          </w:rPr>
          <w:t>annabel.hodder@hants.gov.uk</w:t>
        </w:r>
      </w:hyperlink>
    </w:p>
    <w:p w14:paraId="03ED8D42" w14:textId="77777777" w:rsidR="002A5429" w:rsidRPr="005B7756" w:rsidRDefault="002A5429" w:rsidP="002A5429">
      <w:pPr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color w:val="FF0000"/>
          <w:szCs w:val="24"/>
        </w:rPr>
        <w:tab/>
        <w:t xml:space="preserve">    </w:t>
      </w:r>
      <w:r w:rsidRPr="00EA0336">
        <w:rPr>
          <w:rFonts w:ascii="Arial" w:hAnsi="Arial" w:cs="Arial"/>
          <w:szCs w:val="24"/>
        </w:rPr>
        <w:t>Gemma Anderson,</w:t>
      </w:r>
      <w:r>
        <w:rPr>
          <w:rFonts w:ascii="Arial" w:hAnsi="Arial" w:cs="Arial"/>
          <w:color w:val="FF0000"/>
          <w:szCs w:val="24"/>
        </w:rPr>
        <w:t xml:space="preserve"> </w:t>
      </w:r>
      <w:hyperlink r:id="rId14" w:history="1">
        <w:r w:rsidRPr="00751AD4">
          <w:rPr>
            <w:rStyle w:val="Hyperlink"/>
            <w:rFonts w:ascii="Arial" w:hAnsi="Arial" w:cs="Arial"/>
          </w:rPr>
          <w:t>gemma.anderson@hants.gov.uk</w:t>
        </w:r>
      </w:hyperlink>
    </w:p>
    <w:p w14:paraId="39CAAD62" w14:textId="56C3BABD" w:rsidR="00007AEF" w:rsidRDefault="00007AEF" w:rsidP="00007AEF">
      <w:pPr>
        <w:rPr>
          <w:rFonts w:ascii="Arial" w:hAnsi="Arial" w:cs="Arial"/>
          <w:color w:val="FF0000"/>
          <w:szCs w:val="24"/>
        </w:rPr>
      </w:pPr>
    </w:p>
    <w:p w14:paraId="2F6A4AD7" w14:textId="77777777" w:rsidR="00377ADE" w:rsidRPr="00A51017" w:rsidRDefault="00D90FA6" w:rsidP="00231CE6">
      <w:pPr>
        <w:pStyle w:val="Heading1"/>
        <w:keepNext w:val="0"/>
        <w:tabs>
          <w:tab w:val="num" w:pos="426"/>
        </w:tabs>
        <w:spacing w:before="240"/>
        <w:ind w:left="431" w:hanging="431"/>
        <w:jc w:val="left"/>
        <w:rPr>
          <w:rFonts w:ascii="Arial" w:hAnsi="Arial" w:cs="Arial"/>
          <w:szCs w:val="24"/>
        </w:rPr>
      </w:pPr>
      <w:r w:rsidRPr="00A51017">
        <w:rPr>
          <w:rFonts w:ascii="Arial" w:hAnsi="Arial" w:cs="Arial"/>
          <w:szCs w:val="24"/>
        </w:rPr>
        <w:t>Summary</w:t>
      </w:r>
    </w:p>
    <w:p w14:paraId="1BC5E376" w14:textId="265D3DB5" w:rsidR="00D8697D" w:rsidRPr="00C41DD3" w:rsidRDefault="00A84F0A" w:rsidP="00A9435B">
      <w:pPr>
        <w:pStyle w:val="Heading2"/>
        <w:keepNext w:val="0"/>
        <w:tabs>
          <w:tab w:val="clear" w:pos="576"/>
          <w:tab w:val="num" w:pos="426"/>
        </w:tabs>
        <w:spacing w:after="0"/>
        <w:ind w:left="426" w:hanging="568"/>
        <w:jc w:val="left"/>
        <w:rPr>
          <w:rFonts w:ascii="Arial" w:hAnsi="Arial" w:cs="Arial"/>
          <w:szCs w:val="24"/>
        </w:rPr>
      </w:pPr>
      <w:r w:rsidRPr="00A51017">
        <w:rPr>
          <w:rFonts w:ascii="Arial" w:hAnsi="Arial" w:cs="Arial"/>
          <w:szCs w:val="24"/>
        </w:rPr>
        <w:t xml:space="preserve">This report </w:t>
      </w:r>
      <w:r w:rsidR="00D8697D" w:rsidRPr="00A51017">
        <w:rPr>
          <w:rFonts w:ascii="Arial" w:hAnsi="Arial" w:cs="Arial"/>
          <w:szCs w:val="24"/>
        </w:rPr>
        <w:t xml:space="preserve">sets out the </w:t>
      </w:r>
      <w:r w:rsidR="00B2617F" w:rsidRPr="00A51017">
        <w:rPr>
          <w:rFonts w:ascii="Arial" w:hAnsi="Arial" w:cs="Arial"/>
          <w:szCs w:val="24"/>
        </w:rPr>
        <w:t>final outturn</w:t>
      </w:r>
      <w:r w:rsidR="00D8697D" w:rsidRPr="00A51017">
        <w:rPr>
          <w:rFonts w:ascii="Arial" w:hAnsi="Arial" w:cs="Arial"/>
          <w:szCs w:val="24"/>
        </w:rPr>
        <w:t xml:space="preserve"> position of the 20</w:t>
      </w:r>
      <w:r w:rsidR="00186E92" w:rsidRPr="00A51017">
        <w:rPr>
          <w:rFonts w:ascii="Arial" w:hAnsi="Arial" w:cs="Arial"/>
          <w:szCs w:val="24"/>
        </w:rPr>
        <w:t>2</w:t>
      </w:r>
      <w:r w:rsidR="00A51017" w:rsidRPr="00A51017">
        <w:rPr>
          <w:rFonts w:ascii="Arial" w:hAnsi="Arial" w:cs="Arial"/>
          <w:szCs w:val="24"/>
        </w:rPr>
        <w:t>2</w:t>
      </w:r>
      <w:r w:rsidR="00D8697D" w:rsidRPr="00A51017">
        <w:rPr>
          <w:rFonts w:ascii="Arial" w:hAnsi="Arial" w:cs="Arial"/>
          <w:szCs w:val="24"/>
        </w:rPr>
        <w:t>/2</w:t>
      </w:r>
      <w:r w:rsidR="00A51017" w:rsidRPr="00A51017">
        <w:rPr>
          <w:rFonts w:ascii="Arial" w:hAnsi="Arial" w:cs="Arial"/>
          <w:szCs w:val="24"/>
        </w:rPr>
        <w:t>3</w:t>
      </w:r>
      <w:r w:rsidR="00D8697D" w:rsidRPr="00A51017">
        <w:rPr>
          <w:rFonts w:ascii="Arial" w:hAnsi="Arial" w:cs="Arial"/>
          <w:szCs w:val="24"/>
        </w:rPr>
        <w:t xml:space="preserve"> school’s </w:t>
      </w:r>
      <w:r w:rsidR="00D8697D" w:rsidRPr="0057135A">
        <w:rPr>
          <w:rFonts w:ascii="Arial" w:hAnsi="Arial" w:cs="Arial"/>
          <w:szCs w:val="24"/>
        </w:rPr>
        <w:t>budget, which is an overspend of</w:t>
      </w:r>
      <w:r w:rsidR="00D8697D" w:rsidRPr="00C41DD3">
        <w:rPr>
          <w:rFonts w:ascii="Arial" w:hAnsi="Arial" w:cs="Arial"/>
          <w:szCs w:val="24"/>
        </w:rPr>
        <w:t xml:space="preserve"> £</w:t>
      </w:r>
      <w:r w:rsidR="002D0B49" w:rsidRPr="00C41DD3">
        <w:rPr>
          <w:rFonts w:ascii="Arial" w:hAnsi="Arial" w:cs="Arial"/>
          <w:szCs w:val="24"/>
        </w:rPr>
        <w:t>2</w:t>
      </w:r>
      <w:r w:rsidR="004F16B9" w:rsidRPr="00C41DD3">
        <w:rPr>
          <w:rFonts w:ascii="Arial" w:hAnsi="Arial" w:cs="Arial"/>
          <w:szCs w:val="24"/>
        </w:rPr>
        <w:t>6</w:t>
      </w:r>
      <w:r w:rsidR="005B42CB" w:rsidRPr="00C41DD3">
        <w:rPr>
          <w:rFonts w:ascii="Arial" w:hAnsi="Arial" w:cs="Arial"/>
          <w:szCs w:val="24"/>
        </w:rPr>
        <w:t>.</w:t>
      </w:r>
      <w:r w:rsidR="00C41DD3" w:rsidRPr="00C41DD3">
        <w:rPr>
          <w:rFonts w:ascii="Arial" w:hAnsi="Arial" w:cs="Arial"/>
          <w:szCs w:val="24"/>
        </w:rPr>
        <w:t>1</w:t>
      </w:r>
      <w:r w:rsidR="00186E92" w:rsidRPr="00C41DD3">
        <w:rPr>
          <w:rFonts w:ascii="Arial" w:hAnsi="Arial" w:cs="Arial"/>
          <w:szCs w:val="24"/>
        </w:rPr>
        <w:t>m</w:t>
      </w:r>
      <w:r w:rsidR="00AE3446" w:rsidRPr="00C41DD3">
        <w:rPr>
          <w:rFonts w:ascii="Arial" w:hAnsi="Arial" w:cs="Arial"/>
          <w:szCs w:val="24"/>
        </w:rPr>
        <w:t>.</w:t>
      </w:r>
    </w:p>
    <w:p w14:paraId="11B3F90A" w14:textId="7EBB2E24" w:rsidR="007350D7" w:rsidRPr="0057135A" w:rsidRDefault="00D05438" w:rsidP="007350D7">
      <w:pPr>
        <w:pStyle w:val="Heading1"/>
        <w:keepNext w:val="0"/>
        <w:tabs>
          <w:tab w:val="num" w:pos="426"/>
        </w:tabs>
        <w:spacing w:before="240"/>
        <w:ind w:left="431" w:hanging="431"/>
        <w:jc w:val="left"/>
        <w:rPr>
          <w:rFonts w:ascii="Arial" w:hAnsi="Arial" w:cs="Arial"/>
          <w:szCs w:val="24"/>
        </w:rPr>
      </w:pPr>
      <w:r w:rsidRPr="0057135A">
        <w:rPr>
          <w:rFonts w:ascii="Arial" w:hAnsi="Arial" w:cs="Arial"/>
          <w:szCs w:val="24"/>
        </w:rPr>
        <w:t>20</w:t>
      </w:r>
      <w:r w:rsidR="00186E92" w:rsidRPr="0057135A">
        <w:rPr>
          <w:rFonts w:ascii="Arial" w:hAnsi="Arial" w:cs="Arial"/>
          <w:szCs w:val="24"/>
        </w:rPr>
        <w:t>2</w:t>
      </w:r>
      <w:r w:rsidR="0057135A" w:rsidRPr="0057135A">
        <w:rPr>
          <w:rFonts w:ascii="Arial" w:hAnsi="Arial" w:cs="Arial"/>
          <w:szCs w:val="24"/>
        </w:rPr>
        <w:t>2</w:t>
      </w:r>
      <w:r w:rsidR="00186E92" w:rsidRPr="0057135A">
        <w:rPr>
          <w:rFonts w:ascii="Arial" w:hAnsi="Arial" w:cs="Arial"/>
          <w:szCs w:val="24"/>
        </w:rPr>
        <w:t>/2</w:t>
      </w:r>
      <w:r w:rsidR="0057135A" w:rsidRPr="0057135A">
        <w:rPr>
          <w:rFonts w:ascii="Arial" w:hAnsi="Arial" w:cs="Arial"/>
          <w:szCs w:val="24"/>
        </w:rPr>
        <w:t>3</w:t>
      </w:r>
      <w:r w:rsidRPr="0057135A">
        <w:rPr>
          <w:rFonts w:ascii="Arial" w:hAnsi="Arial" w:cs="Arial"/>
          <w:szCs w:val="24"/>
        </w:rPr>
        <w:t xml:space="preserve"> </w:t>
      </w:r>
      <w:r w:rsidR="00D8697D" w:rsidRPr="0057135A">
        <w:rPr>
          <w:rFonts w:ascii="Arial" w:hAnsi="Arial" w:cs="Arial"/>
          <w:szCs w:val="24"/>
        </w:rPr>
        <w:t xml:space="preserve">school’s </w:t>
      </w:r>
      <w:r w:rsidR="009C67BB" w:rsidRPr="0057135A">
        <w:rPr>
          <w:rFonts w:ascii="Arial" w:hAnsi="Arial" w:cs="Arial"/>
          <w:szCs w:val="24"/>
        </w:rPr>
        <w:t>b</w:t>
      </w:r>
      <w:r w:rsidRPr="0057135A">
        <w:rPr>
          <w:rFonts w:ascii="Arial" w:hAnsi="Arial" w:cs="Arial"/>
          <w:szCs w:val="24"/>
        </w:rPr>
        <w:t>udge</w:t>
      </w:r>
      <w:r w:rsidR="007350D7" w:rsidRPr="0057135A">
        <w:rPr>
          <w:rFonts w:ascii="Arial" w:hAnsi="Arial" w:cs="Arial"/>
          <w:szCs w:val="24"/>
        </w:rPr>
        <w:t>t</w:t>
      </w:r>
    </w:p>
    <w:p w14:paraId="4065BFF0" w14:textId="7FFB41ED" w:rsidR="004211E4" w:rsidRPr="0057135A" w:rsidRDefault="0072135B" w:rsidP="00FD4C4E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57135A">
        <w:rPr>
          <w:rFonts w:ascii="Arial" w:hAnsi="Arial" w:cs="Arial"/>
          <w:szCs w:val="24"/>
        </w:rPr>
        <w:t>The f</w:t>
      </w:r>
      <w:r w:rsidR="004623D4" w:rsidRPr="0057135A">
        <w:rPr>
          <w:rFonts w:ascii="Arial" w:hAnsi="Arial" w:cs="Arial"/>
          <w:szCs w:val="24"/>
        </w:rPr>
        <w:t>inal</w:t>
      </w:r>
      <w:r w:rsidR="00186E92" w:rsidRPr="0057135A">
        <w:rPr>
          <w:rFonts w:ascii="Arial" w:hAnsi="Arial" w:cs="Arial"/>
          <w:szCs w:val="24"/>
        </w:rPr>
        <w:t xml:space="preserve"> </w:t>
      </w:r>
      <w:r w:rsidR="00665E90" w:rsidRPr="0057135A">
        <w:rPr>
          <w:rFonts w:ascii="Arial" w:hAnsi="Arial" w:cs="Arial"/>
          <w:szCs w:val="24"/>
        </w:rPr>
        <w:t>position</w:t>
      </w:r>
      <w:r w:rsidR="00D8697D" w:rsidRPr="0057135A">
        <w:rPr>
          <w:rFonts w:ascii="Arial" w:hAnsi="Arial" w:cs="Arial"/>
          <w:szCs w:val="24"/>
        </w:rPr>
        <w:t xml:space="preserve"> is an overspend of</w:t>
      </w:r>
      <w:r w:rsidR="00D8697D" w:rsidRPr="00C41DD3">
        <w:rPr>
          <w:rFonts w:ascii="Arial" w:hAnsi="Arial" w:cs="Arial"/>
          <w:szCs w:val="24"/>
        </w:rPr>
        <w:t xml:space="preserve"> £</w:t>
      </w:r>
      <w:r w:rsidR="004B1465" w:rsidRPr="00C41DD3">
        <w:rPr>
          <w:rFonts w:ascii="Arial" w:hAnsi="Arial" w:cs="Arial"/>
          <w:szCs w:val="24"/>
        </w:rPr>
        <w:t>2</w:t>
      </w:r>
      <w:r w:rsidR="00C41DD3" w:rsidRPr="00C41DD3">
        <w:rPr>
          <w:rFonts w:ascii="Arial" w:hAnsi="Arial" w:cs="Arial"/>
          <w:szCs w:val="24"/>
        </w:rPr>
        <w:t>6</w:t>
      </w:r>
      <w:r w:rsidR="004B1465" w:rsidRPr="00C41DD3">
        <w:rPr>
          <w:rFonts w:ascii="Arial" w:hAnsi="Arial" w:cs="Arial"/>
          <w:szCs w:val="24"/>
        </w:rPr>
        <w:t>.</w:t>
      </w:r>
      <w:r w:rsidR="00C41DD3" w:rsidRPr="00C41DD3">
        <w:rPr>
          <w:rFonts w:ascii="Arial" w:hAnsi="Arial" w:cs="Arial"/>
          <w:szCs w:val="24"/>
        </w:rPr>
        <w:t>1</w:t>
      </w:r>
      <w:r w:rsidR="00D8697D" w:rsidRPr="00C41DD3">
        <w:rPr>
          <w:rFonts w:ascii="Arial" w:hAnsi="Arial" w:cs="Arial"/>
          <w:szCs w:val="24"/>
        </w:rPr>
        <w:t xml:space="preserve">m, </w:t>
      </w:r>
      <w:proofErr w:type="spellStart"/>
      <w:r w:rsidR="00D8697D" w:rsidRPr="0057135A">
        <w:rPr>
          <w:rFonts w:ascii="Arial" w:hAnsi="Arial" w:cs="Arial"/>
          <w:szCs w:val="24"/>
        </w:rPr>
        <w:t>summarised</w:t>
      </w:r>
      <w:proofErr w:type="spellEnd"/>
      <w:r w:rsidR="00D8697D" w:rsidRPr="0057135A">
        <w:rPr>
          <w:rFonts w:ascii="Arial" w:hAnsi="Arial" w:cs="Arial"/>
          <w:szCs w:val="24"/>
        </w:rPr>
        <w:t xml:space="preserve"> as follows:</w:t>
      </w:r>
    </w:p>
    <w:tbl>
      <w:tblPr>
        <w:tblW w:w="8360" w:type="dxa"/>
        <w:jc w:val="center"/>
        <w:tblLayout w:type="fixed"/>
        <w:tblLook w:val="0000" w:firstRow="0" w:lastRow="0" w:firstColumn="0" w:lastColumn="0" w:noHBand="0" w:noVBand="0"/>
      </w:tblPr>
      <w:tblGrid>
        <w:gridCol w:w="2990"/>
        <w:gridCol w:w="1400"/>
        <w:gridCol w:w="1400"/>
        <w:gridCol w:w="1374"/>
        <w:gridCol w:w="1196"/>
      </w:tblGrid>
      <w:tr w:rsidR="00AA7BCF" w:rsidRPr="00AA7BCF" w14:paraId="70FC433F" w14:textId="77777777" w:rsidTr="00BC1D3F">
        <w:trPr>
          <w:trHeight w:val="387"/>
          <w:jc w:val="center"/>
        </w:trPr>
        <w:tc>
          <w:tcPr>
            <w:tcW w:w="2990" w:type="dxa"/>
            <w:noWrap/>
            <w:vAlign w:val="bottom"/>
          </w:tcPr>
          <w:p w14:paraId="1A8122B8" w14:textId="77777777" w:rsidR="0072135B" w:rsidRPr="0057135A" w:rsidRDefault="0072135B" w:rsidP="00EA6C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7135A">
              <w:rPr>
                <w:rFonts w:ascii="Arial" w:hAnsi="Arial" w:cs="Arial"/>
                <w:b/>
                <w:szCs w:val="24"/>
              </w:rPr>
              <w:t>Block</w:t>
            </w:r>
          </w:p>
        </w:tc>
        <w:tc>
          <w:tcPr>
            <w:tcW w:w="1400" w:type="dxa"/>
            <w:vAlign w:val="center"/>
          </w:tcPr>
          <w:p w14:paraId="671DC016" w14:textId="77777777" w:rsidR="0072135B" w:rsidRPr="0057135A" w:rsidRDefault="0072135B" w:rsidP="00EA6C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7135A">
              <w:rPr>
                <w:rFonts w:ascii="Arial" w:hAnsi="Arial" w:cs="Arial"/>
                <w:b/>
                <w:szCs w:val="24"/>
              </w:rPr>
              <w:t>Current budget</w:t>
            </w:r>
          </w:p>
        </w:tc>
        <w:tc>
          <w:tcPr>
            <w:tcW w:w="1400" w:type="dxa"/>
            <w:noWrap/>
            <w:vAlign w:val="center"/>
          </w:tcPr>
          <w:p w14:paraId="7B5F04A0" w14:textId="4F063B8F" w:rsidR="0072135B" w:rsidRPr="0057135A" w:rsidRDefault="00AA4D14" w:rsidP="00EA6C8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Actual</w:t>
            </w:r>
            <w:r w:rsidR="0072135B" w:rsidRPr="0057135A">
              <w:rPr>
                <w:rFonts w:ascii="Arial" w:hAnsi="Arial" w:cs="Arial"/>
                <w:b/>
                <w:szCs w:val="24"/>
              </w:rPr>
              <w:t xml:space="preserve"> outturn</w:t>
            </w:r>
          </w:p>
        </w:tc>
        <w:tc>
          <w:tcPr>
            <w:tcW w:w="2570" w:type="dxa"/>
            <w:gridSpan w:val="2"/>
            <w:noWrap/>
            <w:vAlign w:val="center"/>
          </w:tcPr>
          <w:p w14:paraId="074158E7" w14:textId="1761C90E" w:rsidR="0072135B" w:rsidRPr="0057135A" w:rsidRDefault="00A36C76" w:rsidP="00EA6C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V</w:t>
            </w:r>
            <w:r w:rsidR="0072135B" w:rsidRPr="0057135A">
              <w:rPr>
                <w:rFonts w:ascii="Arial" w:hAnsi="Arial" w:cs="Arial"/>
                <w:b/>
                <w:bCs/>
                <w:szCs w:val="24"/>
              </w:rPr>
              <w:t>ariance</w:t>
            </w:r>
          </w:p>
        </w:tc>
      </w:tr>
      <w:tr w:rsidR="00AA7BCF" w:rsidRPr="00AA7BCF" w14:paraId="60EBB671" w14:textId="77777777" w:rsidTr="00BC1D3F">
        <w:trPr>
          <w:trHeight w:val="255"/>
          <w:jc w:val="center"/>
        </w:trPr>
        <w:tc>
          <w:tcPr>
            <w:tcW w:w="2990" w:type="dxa"/>
            <w:noWrap/>
            <w:vAlign w:val="bottom"/>
          </w:tcPr>
          <w:p w14:paraId="18ACC3F8" w14:textId="77777777" w:rsidR="0072135B" w:rsidRPr="0057135A" w:rsidRDefault="0072135B" w:rsidP="00EA6C8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00" w:type="dxa"/>
            <w:vAlign w:val="bottom"/>
          </w:tcPr>
          <w:p w14:paraId="36E6D324" w14:textId="77777777" w:rsidR="0072135B" w:rsidRPr="0057135A" w:rsidRDefault="0072135B" w:rsidP="00EA6C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7135A">
              <w:rPr>
                <w:rFonts w:ascii="Arial" w:hAnsi="Arial" w:cs="Arial"/>
                <w:b/>
                <w:szCs w:val="24"/>
              </w:rPr>
              <w:t>£000</w:t>
            </w:r>
          </w:p>
        </w:tc>
        <w:tc>
          <w:tcPr>
            <w:tcW w:w="1400" w:type="dxa"/>
            <w:noWrap/>
            <w:vAlign w:val="bottom"/>
          </w:tcPr>
          <w:p w14:paraId="503EE1F2" w14:textId="77777777" w:rsidR="0072135B" w:rsidRPr="0057135A" w:rsidRDefault="0072135B" w:rsidP="00EA6C8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7135A">
              <w:rPr>
                <w:rFonts w:ascii="Arial" w:hAnsi="Arial" w:cs="Arial"/>
                <w:b/>
                <w:szCs w:val="24"/>
              </w:rPr>
              <w:t>£000</w:t>
            </w:r>
          </w:p>
        </w:tc>
        <w:tc>
          <w:tcPr>
            <w:tcW w:w="1374" w:type="dxa"/>
            <w:noWrap/>
            <w:vAlign w:val="bottom"/>
          </w:tcPr>
          <w:p w14:paraId="176EE0E6" w14:textId="77777777" w:rsidR="0072135B" w:rsidRPr="0057135A" w:rsidRDefault="0072135B" w:rsidP="00EA6C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7135A">
              <w:rPr>
                <w:rFonts w:ascii="Arial" w:hAnsi="Arial" w:cs="Arial"/>
                <w:b/>
                <w:bCs/>
                <w:szCs w:val="24"/>
              </w:rPr>
              <w:t>£000</w:t>
            </w:r>
          </w:p>
        </w:tc>
        <w:tc>
          <w:tcPr>
            <w:tcW w:w="1196" w:type="dxa"/>
            <w:vAlign w:val="bottom"/>
          </w:tcPr>
          <w:p w14:paraId="13B6A52F" w14:textId="77777777" w:rsidR="0072135B" w:rsidRPr="0057135A" w:rsidRDefault="0072135B" w:rsidP="00EA6C8E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7135A">
              <w:rPr>
                <w:rFonts w:ascii="Arial" w:hAnsi="Arial" w:cs="Arial"/>
                <w:b/>
                <w:bCs/>
                <w:szCs w:val="24"/>
              </w:rPr>
              <w:t>%</w:t>
            </w:r>
          </w:p>
        </w:tc>
      </w:tr>
      <w:tr w:rsidR="00AA7BCF" w:rsidRPr="00AA7BCF" w14:paraId="6D2FCB39" w14:textId="77777777" w:rsidTr="00BC1D3F">
        <w:trPr>
          <w:trHeight w:val="255"/>
          <w:jc w:val="center"/>
        </w:trPr>
        <w:tc>
          <w:tcPr>
            <w:tcW w:w="2990" w:type="dxa"/>
            <w:noWrap/>
          </w:tcPr>
          <w:p w14:paraId="4DC2F9FF" w14:textId="77777777" w:rsidR="0072135B" w:rsidRPr="0057135A" w:rsidRDefault="003A29DF" w:rsidP="00EA6C8E">
            <w:pPr>
              <w:widowControl w:val="0"/>
              <w:spacing w:before="40"/>
              <w:jc w:val="left"/>
              <w:rPr>
                <w:rFonts w:ascii="Arial" w:hAnsi="Arial" w:cs="Arial"/>
                <w:szCs w:val="24"/>
              </w:rPr>
            </w:pPr>
            <w:r w:rsidRPr="0057135A">
              <w:rPr>
                <w:rFonts w:ascii="Arial" w:hAnsi="Arial" w:cs="Arial"/>
                <w:szCs w:val="24"/>
              </w:rPr>
              <w:t>Early Years</w:t>
            </w:r>
          </w:p>
        </w:tc>
        <w:tc>
          <w:tcPr>
            <w:tcW w:w="1400" w:type="dxa"/>
            <w:vAlign w:val="center"/>
          </w:tcPr>
          <w:p w14:paraId="4BFD8985" w14:textId="7BC4A2A6" w:rsidR="0072135B" w:rsidRPr="006E2E21" w:rsidRDefault="003A29D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8</w:t>
            </w:r>
            <w:r w:rsidR="001E23F1" w:rsidRPr="006E2E21">
              <w:rPr>
                <w:rFonts w:ascii="Arial" w:hAnsi="Arial" w:cs="Arial"/>
                <w:szCs w:val="24"/>
              </w:rPr>
              <w:t>4</w:t>
            </w:r>
            <w:r w:rsidR="0095742C" w:rsidRPr="006E2E21">
              <w:rPr>
                <w:rFonts w:ascii="Arial" w:hAnsi="Arial" w:cs="Arial"/>
                <w:szCs w:val="24"/>
              </w:rPr>
              <w:t>,</w:t>
            </w:r>
            <w:r w:rsidR="001E23F1" w:rsidRPr="006E2E21">
              <w:rPr>
                <w:rFonts w:ascii="Arial" w:hAnsi="Arial" w:cs="Arial"/>
                <w:szCs w:val="24"/>
              </w:rPr>
              <w:t>776</w:t>
            </w:r>
          </w:p>
        </w:tc>
        <w:tc>
          <w:tcPr>
            <w:tcW w:w="1400" w:type="dxa"/>
            <w:noWrap/>
            <w:vAlign w:val="center"/>
          </w:tcPr>
          <w:p w14:paraId="5891A402" w14:textId="4D7086F0" w:rsidR="0072135B" w:rsidRPr="006E2E21" w:rsidRDefault="00B3524A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8</w:t>
            </w:r>
            <w:r w:rsidR="0031449F" w:rsidRPr="006E2E21">
              <w:rPr>
                <w:rFonts w:ascii="Arial" w:hAnsi="Arial" w:cs="Arial"/>
                <w:szCs w:val="24"/>
              </w:rPr>
              <w:t>3</w:t>
            </w:r>
            <w:r w:rsidRPr="006E2E21">
              <w:rPr>
                <w:rFonts w:ascii="Arial" w:hAnsi="Arial" w:cs="Arial"/>
                <w:szCs w:val="24"/>
              </w:rPr>
              <w:t>,</w:t>
            </w:r>
            <w:r w:rsidR="0031449F" w:rsidRPr="006E2E21">
              <w:rPr>
                <w:rFonts w:ascii="Arial" w:hAnsi="Arial" w:cs="Arial"/>
                <w:szCs w:val="24"/>
              </w:rPr>
              <w:t>09</w:t>
            </w:r>
            <w:r w:rsidR="001E23F1" w:rsidRPr="006E2E2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374" w:type="dxa"/>
            <w:noWrap/>
            <w:vAlign w:val="center"/>
          </w:tcPr>
          <w:p w14:paraId="664DC1C2" w14:textId="34E6C178" w:rsidR="0072135B" w:rsidRPr="006E2E21" w:rsidRDefault="003926B6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(</w:t>
            </w:r>
            <w:r w:rsidR="009D0879" w:rsidRPr="006E2E21">
              <w:rPr>
                <w:rFonts w:ascii="Arial" w:hAnsi="Arial" w:cs="Arial"/>
                <w:bCs/>
                <w:szCs w:val="24"/>
              </w:rPr>
              <w:t>1</w:t>
            </w:r>
            <w:r w:rsidRPr="006E2E21">
              <w:rPr>
                <w:rFonts w:ascii="Arial" w:hAnsi="Arial" w:cs="Arial"/>
                <w:bCs/>
                <w:szCs w:val="24"/>
              </w:rPr>
              <w:t>,</w:t>
            </w:r>
            <w:r w:rsidR="009D0879" w:rsidRPr="006E2E21">
              <w:rPr>
                <w:rFonts w:ascii="Arial" w:hAnsi="Arial" w:cs="Arial"/>
                <w:bCs/>
                <w:szCs w:val="24"/>
              </w:rPr>
              <w:t>677</w:t>
            </w:r>
            <w:r w:rsidRPr="006E2E2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96" w:type="dxa"/>
            <w:vAlign w:val="center"/>
          </w:tcPr>
          <w:p w14:paraId="500F11EF" w14:textId="24E7359C" w:rsidR="0072135B" w:rsidRPr="006E2E21" w:rsidRDefault="00377173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(</w:t>
            </w:r>
            <w:r w:rsidR="00A9234F" w:rsidRPr="006E2E21">
              <w:rPr>
                <w:rFonts w:ascii="Arial" w:hAnsi="Arial" w:cs="Arial"/>
                <w:bCs/>
                <w:szCs w:val="24"/>
              </w:rPr>
              <w:t>2.0</w:t>
            </w:r>
            <w:r w:rsidRPr="006E2E21">
              <w:rPr>
                <w:rFonts w:ascii="Arial" w:hAnsi="Arial" w:cs="Arial"/>
                <w:szCs w:val="24"/>
              </w:rPr>
              <w:t>)</w:t>
            </w:r>
          </w:p>
        </w:tc>
      </w:tr>
      <w:tr w:rsidR="00AA7BCF" w:rsidRPr="00AA7BCF" w14:paraId="68997E27" w14:textId="77777777" w:rsidTr="00BC1D3F">
        <w:trPr>
          <w:trHeight w:val="255"/>
          <w:jc w:val="center"/>
        </w:trPr>
        <w:tc>
          <w:tcPr>
            <w:tcW w:w="2990" w:type="dxa"/>
            <w:noWrap/>
          </w:tcPr>
          <w:p w14:paraId="5D943BE5" w14:textId="77777777" w:rsidR="0072135B" w:rsidRPr="0057135A" w:rsidRDefault="003A29DF" w:rsidP="00EA6C8E">
            <w:pPr>
              <w:widowControl w:val="0"/>
              <w:spacing w:before="40"/>
              <w:jc w:val="left"/>
              <w:rPr>
                <w:rFonts w:ascii="Arial" w:hAnsi="Arial" w:cs="Arial"/>
                <w:szCs w:val="24"/>
              </w:rPr>
            </w:pPr>
            <w:r w:rsidRPr="0057135A">
              <w:rPr>
                <w:rFonts w:ascii="Arial" w:hAnsi="Arial" w:cs="Arial"/>
                <w:szCs w:val="24"/>
              </w:rPr>
              <w:t>Schools</w:t>
            </w:r>
          </w:p>
        </w:tc>
        <w:tc>
          <w:tcPr>
            <w:tcW w:w="1400" w:type="dxa"/>
            <w:vAlign w:val="center"/>
          </w:tcPr>
          <w:p w14:paraId="1ACAB981" w14:textId="46C8DB83" w:rsidR="0072135B" w:rsidRPr="006E2E21" w:rsidRDefault="002235E4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64</w:t>
            </w:r>
            <w:r w:rsidR="0086613F" w:rsidRPr="006E2E21">
              <w:rPr>
                <w:rFonts w:ascii="Arial" w:hAnsi="Arial" w:cs="Arial"/>
                <w:szCs w:val="24"/>
              </w:rPr>
              <w:t>5</w:t>
            </w:r>
            <w:r w:rsidRPr="006E2E21">
              <w:rPr>
                <w:rFonts w:ascii="Arial" w:hAnsi="Arial" w:cs="Arial"/>
                <w:szCs w:val="24"/>
              </w:rPr>
              <w:t>,3</w:t>
            </w:r>
            <w:r w:rsidR="001E23F1" w:rsidRPr="006E2E21">
              <w:rPr>
                <w:rFonts w:ascii="Arial" w:hAnsi="Arial" w:cs="Arial"/>
                <w:szCs w:val="24"/>
              </w:rPr>
              <w:t>3</w:t>
            </w:r>
            <w:r w:rsidR="0070320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00" w:type="dxa"/>
            <w:noWrap/>
            <w:vAlign w:val="center"/>
          </w:tcPr>
          <w:p w14:paraId="6E3B4042" w14:textId="40D1F32E" w:rsidR="0072135B" w:rsidRPr="006E2E21" w:rsidRDefault="002235E4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6</w:t>
            </w:r>
            <w:r w:rsidR="0031449F" w:rsidRPr="006E2E21">
              <w:rPr>
                <w:rFonts w:ascii="Arial" w:hAnsi="Arial" w:cs="Arial"/>
                <w:szCs w:val="24"/>
              </w:rPr>
              <w:t>43</w:t>
            </w:r>
            <w:r w:rsidRPr="006E2E21">
              <w:rPr>
                <w:rFonts w:ascii="Arial" w:hAnsi="Arial" w:cs="Arial"/>
                <w:szCs w:val="24"/>
              </w:rPr>
              <w:t>,</w:t>
            </w:r>
            <w:r w:rsidR="0031449F" w:rsidRPr="006E2E21">
              <w:rPr>
                <w:rFonts w:ascii="Arial" w:hAnsi="Arial" w:cs="Arial"/>
                <w:szCs w:val="24"/>
              </w:rPr>
              <w:t>5</w:t>
            </w:r>
            <w:r w:rsidR="00335B5E" w:rsidRPr="006E2E21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374" w:type="dxa"/>
            <w:noWrap/>
            <w:vAlign w:val="center"/>
          </w:tcPr>
          <w:p w14:paraId="721D1F3B" w14:textId="09D6F7EA" w:rsidR="0072135B" w:rsidRPr="006E2E21" w:rsidRDefault="003A29D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(</w:t>
            </w:r>
            <w:r w:rsidR="00E920A4" w:rsidRPr="006E2E21">
              <w:rPr>
                <w:rFonts w:ascii="Arial" w:hAnsi="Arial" w:cs="Arial"/>
                <w:szCs w:val="24"/>
              </w:rPr>
              <w:t>1</w:t>
            </w:r>
            <w:r w:rsidR="00B352E8" w:rsidRPr="006E2E21">
              <w:rPr>
                <w:rFonts w:ascii="Arial" w:hAnsi="Arial" w:cs="Arial"/>
                <w:szCs w:val="24"/>
              </w:rPr>
              <w:t>,</w:t>
            </w:r>
            <w:r w:rsidR="00E920A4" w:rsidRPr="006E2E21">
              <w:rPr>
                <w:rFonts w:ascii="Arial" w:hAnsi="Arial" w:cs="Arial"/>
                <w:bCs/>
                <w:szCs w:val="24"/>
              </w:rPr>
              <w:t>7</w:t>
            </w:r>
            <w:r w:rsidR="009D0879" w:rsidRPr="006E2E21">
              <w:rPr>
                <w:rFonts w:ascii="Arial" w:hAnsi="Arial" w:cs="Arial"/>
                <w:bCs/>
                <w:szCs w:val="24"/>
              </w:rPr>
              <w:t>8</w:t>
            </w:r>
            <w:r w:rsidR="00703201">
              <w:rPr>
                <w:rFonts w:ascii="Arial" w:hAnsi="Arial" w:cs="Arial"/>
                <w:bCs/>
                <w:szCs w:val="24"/>
              </w:rPr>
              <w:t>9</w:t>
            </w:r>
            <w:r w:rsidRPr="006E2E2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96" w:type="dxa"/>
            <w:vAlign w:val="center"/>
          </w:tcPr>
          <w:p w14:paraId="624412FE" w14:textId="1C51B159" w:rsidR="0072135B" w:rsidRPr="006E2E21" w:rsidRDefault="003A29DF" w:rsidP="007803E6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(</w:t>
            </w:r>
            <w:r w:rsidR="000C15CC" w:rsidRPr="006E2E21">
              <w:rPr>
                <w:rFonts w:ascii="Arial" w:hAnsi="Arial" w:cs="Arial"/>
                <w:szCs w:val="24"/>
              </w:rPr>
              <w:t>0.</w:t>
            </w:r>
            <w:r w:rsidR="00415F8F" w:rsidRPr="006E2E21">
              <w:rPr>
                <w:rFonts w:ascii="Arial" w:hAnsi="Arial" w:cs="Arial"/>
                <w:bCs/>
                <w:szCs w:val="24"/>
              </w:rPr>
              <w:t>3</w:t>
            </w:r>
            <w:r w:rsidRPr="006E2E21">
              <w:rPr>
                <w:rFonts w:ascii="Arial" w:hAnsi="Arial" w:cs="Arial"/>
                <w:szCs w:val="24"/>
              </w:rPr>
              <w:t>)</w:t>
            </w:r>
          </w:p>
        </w:tc>
      </w:tr>
      <w:tr w:rsidR="00AA7BCF" w:rsidRPr="00AA7BCF" w14:paraId="6D1483C6" w14:textId="77777777" w:rsidTr="00BC1D3F">
        <w:trPr>
          <w:trHeight w:val="255"/>
          <w:jc w:val="center"/>
        </w:trPr>
        <w:tc>
          <w:tcPr>
            <w:tcW w:w="2990" w:type="dxa"/>
            <w:noWrap/>
          </w:tcPr>
          <w:p w14:paraId="63897CE0" w14:textId="77777777" w:rsidR="0072135B" w:rsidRPr="0057135A" w:rsidRDefault="0072135B" w:rsidP="00EA6C8E">
            <w:pPr>
              <w:widowControl w:val="0"/>
              <w:spacing w:before="40"/>
              <w:jc w:val="left"/>
              <w:rPr>
                <w:rFonts w:ascii="Arial" w:hAnsi="Arial" w:cs="Arial"/>
                <w:szCs w:val="24"/>
              </w:rPr>
            </w:pPr>
            <w:r w:rsidRPr="0057135A">
              <w:rPr>
                <w:rFonts w:ascii="Arial" w:hAnsi="Arial" w:cs="Arial"/>
                <w:szCs w:val="24"/>
              </w:rPr>
              <w:t>High Needs</w:t>
            </w:r>
          </w:p>
        </w:tc>
        <w:tc>
          <w:tcPr>
            <w:tcW w:w="1400" w:type="dxa"/>
            <w:vAlign w:val="center"/>
          </w:tcPr>
          <w:p w14:paraId="2C888DFE" w14:textId="119885B5" w:rsidR="0072135B" w:rsidRPr="006E2E21" w:rsidRDefault="003A29D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1</w:t>
            </w:r>
            <w:r w:rsidR="0086613F" w:rsidRPr="006E2E21">
              <w:rPr>
                <w:rFonts w:ascii="Arial" w:hAnsi="Arial" w:cs="Arial"/>
                <w:szCs w:val="24"/>
              </w:rPr>
              <w:t>64</w:t>
            </w:r>
            <w:r w:rsidR="00C8138B" w:rsidRPr="006E2E21">
              <w:rPr>
                <w:rFonts w:ascii="Arial" w:hAnsi="Arial" w:cs="Arial"/>
                <w:szCs w:val="24"/>
              </w:rPr>
              <w:t>,</w:t>
            </w:r>
            <w:r w:rsidR="0086613F" w:rsidRPr="006E2E21">
              <w:rPr>
                <w:rFonts w:ascii="Arial" w:hAnsi="Arial" w:cs="Arial"/>
                <w:szCs w:val="24"/>
              </w:rPr>
              <w:t>75</w:t>
            </w:r>
            <w:r w:rsidR="00335B5E" w:rsidRPr="006E2E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00" w:type="dxa"/>
            <w:noWrap/>
            <w:vAlign w:val="center"/>
          </w:tcPr>
          <w:p w14:paraId="0DBC2357" w14:textId="4F12B020" w:rsidR="00D8697D" w:rsidRPr="006E2E21" w:rsidRDefault="00C8138B" w:rsidP="00D8697D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1</w:t>
            </w:r>
            <w:r w:rsidR="00335B5E" w:rsidRPr="006E2E21">
              <w:rPr>
                <w:rFonts w:ascii="Arial" w:hAnsi="Arial" w:cs="Arial"/>
                <w:szCs w:val="24"/>
              </w:rPr>
              <w:t>9</w:t>
            </w:r>
            <w:r w:rsidR="0057135A" w:rsidRPr="006E2E21">
              <w:rPr>
                <w:rFonts w:ascii="Arial" w:hAnsi="Arial" w:cs="Arial"/>
                <w:szCs w:val="24"/>
              </w:rPr>
              <w:t>5</w:t>
            </w:r>
            <w:r w:rsidRPr="006E2E21">
              <w:rPr>
                <w:rFonts w:ascii="Arial" w:hAnsi="Arial" w:cs="Arial"/>
                <w:szCs w:val="24"/>
              </w:rPr>
              <w:t>,</w:t>
            </w:r>
            <w:r w:rsidR="00335B5E" w:rsidRPr="006E2E21">
              <w:rPr>
                <w:rFonts w:ascii="Arial" w:hAnsi="Arial" w:cs="Arial"/>
                <w:szCs w:val="24"/>
              </w:rPr>
              <w:t>17</w:t>
            </w:r>
            <w:r w:rsidR="0057135A" w:rsidRPr="006E2E2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374" w:type="dxa"/>
            <w:noWrap/>
            <w:vAlign w:val="center"/>
          </w:tcPr>
          <w:p w14:paraId="05A480D3" w14:textId="468245F3" w:rsidR="0072135B" w:rsidRPr="006E2E21" w:rsidRDefault="00AE365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bCs/>
                <w:szCs w:val="24"/>
              </w:rPr>
              <w:t>30</w:t>
            </w:r>
            <w:r w:rsidR="00540716" w:rsidRPr="006E2E21">
              <w:rPr>
                <w:rFonts w:ascii="Arial" w:hAnsi="Arial" w:cs="Arial"/>
                <w:bCs/>
                <w:szCs w:val="24"/>
              </w:rPr>
              <w:t>,</w:t>
            </w:r>
            <w:r w:rsidRPr="006E2E21">
              <w:rPr>
                <w:rFonts w:ascii="Arial" w:hAnsi="Arial" w:cs="Arial"/>
                <w:bCs/>
                <w:szCs w:val="24"/>
              </w:rPr>
              <w:t>420</w:t>
            </w:r>
          </w:p>
        </w:tc>
        <w:tc>
          <w:tcPr>
            <w:tcW w:w="1196" w:type="dxa"/>
            <w:vAlign w:val="center"/>
          </w:tcPr>
          <w:p w14:paraId="12EEC552" w14:textId="5C3E08A1" w:rsidR="0072135B" w:rsidRPr="006E2E21" w:rsidRDefault="00540716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bCs/>
                <w:szCs w:val="24"/>
              </w:rPr>
              <w:t>1</w:t>
            </w:r>
            <w:r w:rsidR="00415F8F" w:rsidRPr="006E2E21">
              <w:rPr>
                <w:rFonts w:ascii="Arial" w:hAnsi="Arial" w:cs="Arial"/>
                <w:bCs/>
                <w:szCs w:val="24"/>
              </w:rPr>
              <w:t>8</w:t>
            </w:r>
            <w:r w:rsidRPr="006E2E21">
              <w:rPr>
                <w:rFonts w:ascii="Arial" w:hAnsi="Arial" w:cs="Arial"/>
                <w:bCs/>
                <w:szCs w:val="24"/>
              </w:rPr>
              <w:t>.</w:t>
            </w:r>
            <w:r w:rsidR="00415F8F" w:rsidRPr="006E2E21">
              <w:rPr>
                <w:rFonts w:ascii="Arial" w:hAnsi="Arial" w:cs="Arial"/>
                <w:bCs/>
                <w:szCs w:val="24"/>
              </w:rPr>
              <w:t>5</w:t>
            </w:r>
          </w:p>
        </w:tc>
      </w:tr>
      <w:tr w:rsidR="00AA7BCF" w:rsidRPr="00AA7BCF" w14:paraId="5DA8C600" w14:textId="77777777" w:rsidTr="00BC1D3F">
        <w:trPr>
          <w:trHeight w:val="255"/>
          <w:jc w:val="center"/>
        </w:trPr>
        <w:tc>
          <w:tcPr>
            <w:tcW w:w="2990" w:type="dxa"/>
            <w:tcBorders>
              <w:bottom w:val="single" w:sz="4" w:space="0" w:color="auto"/>
            </w:tcBorders>
            <w:noWrap/>
          </w:tcPr>
          <w:p w14:paraId="47102A7B" w14:textId="77777777" w:rsidR="00481D04" w:rsidRPr="0057135A" w:rsidRDefault="00481D04" w:rsidP="00EA6C8E">
            <w:pPr>
              <w:widowControl w:val="0"/>
              <w:spacing w:before="40"/>
              <w:jc w:val="left"/>
              <w:rPr>
                <w:rFonts w:ascii="Arial" w:hAnsi="Arial" w:cs="Arial"/>
                <w:szCs w:val="24"/>
              </w:rPr>
            </w:pPr>
            <w:r w:rsidRPr="0057135A">
              <w:rPr>
                <w:rFonts w:ascii="Arial" w:hAnsi="Arial" w:cs="Arial"/>
                <w:szCs w:val="24"/>
              </w:rPr>
              <w:t>Central School Services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523A8BB8" w14:textId="7034C334" w:rsidR="00481D04" w:rsidRPr="006E2E21" w:rsidRDefault="00540716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8,</w:t>
            </w:r>
            <w:r w:rsidR="00461690" w:rsidRPr="006E2E21">
              <w:rPr>
                <w:rFonts w:ascii="Arial" w:hAnsi="Arial" w:cs="Arial"/>
                <w:szCs w:val="24"/>
              </w:rPr>
              <w:t>080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vAlign w:val="center"/>
          </w:tcPr>
          <w:p w14:paraId="2B0F0649" w14:textId="01902CA9" w:rsidR="00481D04" w:rsidRPr="006E2E21" w:rsidRDefault="000B2A64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7</w:t>
            </w:r>
            <w:r w:rsidR="00540716" w:rsidRPr="006E2E21">
              <w:rPr>
                <w:rFonts w:ascii="Arial" w:hAnsi="Arial" w:cs="Arial"/>
                <w:szCs w:val="24"/>
              </w:rPr>
              <w:t>,</w:t>
            </w:r>
            <w:r w:rsidRPr="006E2E21">
              <w:rPr>
                <w:rFonts w:ascii="Arial" w:hAnsi="Arial" w:cs="Arial"/>
                <w:szCs w:val="24"/>
              </w:rPr>
              <w:t>2</w:t>
            </w:r>
            <w:r w:rsidR="00335B5E" w:rsidRPr="006E2E21">
              <w:rPr>
                <w:rFonts w:ascii="Arial" w:hAnsi="Arial" w:cs="Arial"/>
                <w:szCs w:val="24"/>
              </w:rPr>
              <w:t>53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noWrap/>
            <w:vAlign w:val="center"/>
          </w:tcPr>
          <w:p w14:paraId="7A70DC55" w14:textId="61001BF6" w:rsidR="00481D04" w:rsidRPr="006E2E21" w:rsidRDefault="004B1D22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(</w:t>
            </w:r>
            <w:r w:rsidRPr="006E2E21">
              <w:rPr>
                <w:rFonts w:ascii="Arial" w:hAnsi="Arial" w:cs="Arial"/>
                <w:bCs/>
                <w:szCs w:val="24"/>
              </w:rPr>
              <w:t>8</w:t>
            </w:r>
            <w:r w:rsidR="00AE365F" w:rsidRPr="006E2E21">
              <w:rPr>
                <w:rFonts w:ascii="Arial" w:hAnsi="Arial" w:cs="Arial"/>
                <w:bCs/>
                <w:szCs w:val="24"/>
              </w:rPr>
              <w:t>27</w:t>
            </w:r>
            <w:r w:rsidRPr="006E2E21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56C1A376" w14:textId="5E169FBF" w:rsidR="00481D04" w:rsidRPr="006E2E21" w:rsidRDefault="0097284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bCs/>
                <w:szCs w:val="24"/>
              </w:rPr>
              <w:t>10</w:t>
            </w:r>
            <w:r w:rsidR="00504594" w:rsidRPr="006E2E21">
              <w:rPr>
                <w:rFonts w:ascii="Arial" w:hAnsi="Arial" w:cs="Arial"/>
                <w:szCs w:val="24"/>
              </w:rPr>
              <w:t>.2</w:t>
            </w:r>
          </w:p>
        </w:tc>
      </w:tr>
      <w:tr w:rsidR="00AA7BCF" w:rsidRPr="00AA7BCF" w14:paraId="24E8DE0C" w14:textId="77777777" w:rsidTr="00BC1D3F">
        <w:trPr>
          <w:trHeight w:val="70"/>
          <w:jc w:val="center"/>
        </w:trPr>
        <w:tc>
          <w:tcPr>
            <w:tcW w:w="2990" w:type="dxa"/>
            <w:tcBorders>
              <w:top w:val="single" w:sz="4" w:space="0" w:color="auto"/>
            </w:tcBorders>
            <w:noWrap/>
          </w:tcPr>
          <w:p w14:paraId="2EC0C990" w14:textId="77777777" w:rsidR="0072135B" w:rsidRPr="0057135A" w:rsidRDefault="005A0208" w:rsidP="00EA6C8E">
            <w:pPr>
              <w:widowControl w:val="0"/>
              <w:spacing w:before="40"/>
              <w:jc w:val="left"/>
              <w:rPr>
                <w:rFonts w:ascii="Arial" w:hAnsi="Arial" w:cs="Arial"/>
                <w:szCs w:val="24"/>
              </w:rPr>
            </w:pPr>
            <w:r w:rsidRPr="0057135A">
              <w:rPr>
                <w:rFonts w:ascii="Arial" w:hAnsi="Arial" w:cs="Arial"/>
                <w:szCs w:val="24"/>
              </w:rPr>
              <w:t>Dedicated Schools Grant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350171CE" w14:textId="62822352" w:rsidR="0072135B" w:rsidRPr="006E2E21" w:rsidRDefault="00B16F45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90</w:t>
            </w:r>
            <w:r w:rsidR="00811276">
              <w:rPr>
                <w:rFonts w:ascii="Arial" w:hAnsi="Arial" w:cs="Arial"/>
                <w:szCs w:val="24"/>
              </w:rPr>
              <w:t>2</w:t>
            </w:r>
            <w:r w:rsidR="009D255E" w:rsidRPr="006E2E21">
              <w:rPr>
                <w:rFonts w:ascii="Arial" w:hAnsi="Arial" w:cs="Arial"/>
                <w:szCs w:val="24"/>
              </w:rPr>
              <w:t>,</w:t>
            </w:r>
            <w:r w:rsidR="00335B5E" w:rsidRPr="006E2E21">
              <w:rPr>
                <w:rFonts w:ascii="Arial" w:hAnsi="Arial" w:cs="Arial"/>
                <w:szCs w:val="24"/>
              </w:rPr>
              <w:t>94</w:t>
            </w:r>
            <w:r w:rsidR="0076625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noWrap/>
            <w:vAlign w:val="center"/>
          </w:tcPr>
          <w:p w14:paraId="1377B32C" w14:textId="106D6D12" w:rsidR="0072135B" w:rsidRPr="006E2E21" w:rsidRDefault="0031449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9</w:t>
            </w:r>
            <w:r w:rsidR="00AE365F" w:rsidRPr="006E2E21">
              <w:rPr>
                <w:rFonts w:ascii="Arial" w:hAnsi="Arial" w:cs="Arial"/>
                <w:szCs w:val="24"/>
              </w:rPr>
              <w:t>2</w:t>
            </w:r>
            <w:r w:rsidRPr="006E2E21">
              <w:rPr>
                <w:rFonts w:ascii="Arial" w:hAnsi="Arial" w:cs="Arial"/>
                <w:szCs w:val="24"/>
              </w:rPr>
              <w:t>9</w:t>
            </w:r>
            <w:r w:rsidR="009D255E" w:rsidRPr="006E2E21">
              <w:rPr>
                <w:rFonts w:ascii="Arial" w:hAnsi="Arial" w:cs="Arial"/>
                <w:szCs w:val="24"/>
              </w:rPr>
              <w:t>,</w:t>
            </w:r>
            <w:r w:rsidR="00AE365F" w:rsidRPr="006E2E21">
              <w:rPr>
                <w:rFonts w:ascii="Arial" w:hAnsi="Arial" w:cs="Arial"/>
                <w:szCs w:val="24"/>
              </w:rPr>
              <w:t>073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noWrap/>
            <w:vAlign w:val="center"/>
          </w:tcPr>
          <w:p w14:paraId="72214F76" w14:textId="6523D969" w:rsidR="0072135B" w:rsidRPr="006E2E21" w:rsidRDefault="00AE365F" w:rsidP="0024112D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bCs/>
                <w:szCs w:val="24"/>
              </w:rPr>
              <w:t>26</w:t>
            </w:r>
            <w:r w:rsidR="006455D7" w:rsidRPr="006E2E21">
              <w:rPr>
                <w:rFonts w:ascii="Arial" w:hAnsi="Arial" w:cs="Arial"/>
                <w:bCs/>
                <w:szCs w:val="24"/>
              </w:rPr>
              <w:t>,</w:t>
            </w:r>
            <w:r w:rsidRPr="006E2E21">
              <w:rPr>
                <w:rFonts w:ascii="Arial" w:hAnsi="Arial" w:cs="Arial"/>
                <w:bCs/>
                <w:szCs w:val="24"/>
              </w:rPr>
              <w:t>127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02F24FB7" w14:textId="59869D99" w:rsidR="0072135B" w:rsidRPr="006E2E21" w:rsidRDefault="00253022" w:rsidP="00767BEC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2.</w:t>
            </w:r>
            <w:r w:rsidR="0097284F" w:rsidRPr="006E2E21">
              <w:rPr>
                <w:rFonts w:ascii="Arial" w:hAnsi="Arial" w:cs="Arial"/>
                <w:bCs/>
                <w:szCs w:val="24"/>
              </w:rPr>
              <w:t>9</w:t>
            </w:r>
          </w:p>
        </w:tc>
      </w:tr>
      <w:tr w:rsidR="00AA7BCF" w:rsidRPr="00AA7BCF" w14:paraId="62210F50" w14:textId="77777777" w:rsidTr="00BC1D3F">
        <w:trPr>
          <w:trHeight w:val="255"/>
          <w:jc w:val="center"/>
        </w:trPr>
        <w:tc>
          <w:tcPr>
            <w:tcW w:w="2990" w:type="dxa"/>
            <w:tcBorders>
              <w:bottom w:val="single" w:sz="4" w:space="0" w:color="auto"/>
            </w:tcBorders>
            <w:noWrap/>
          </w:tcPr>
          <w:p w14:paraId="149B3F8A" w14:textId="77777777" w:rsidR="0072135B" w:rsidRPr="0057135A" w:rsidRDefault="005A0208" w:rsidP="00EA6C8E">
            <w:pPr>
              <w:widowControl w:val="0"/>
              <w:spacing w:before="40"/>
              <w:jc w:val="left"/>
              <w:rPr>
                <w:rFonts w:ascii="Arial" w:hAnsi="Arial" w:cs="Arial"/>
                <w:szCs w:val="24"/>
              </w:rPr>
            </w:pPr>
            <w:r w:rsidRPr="0057135A">
              <w:rPr>
                <w:rFonts w:ascii="Arial" w:hAnsi="Arial" w:cs="Arial"/>
                <w:szCs w:val="24"/>
              </w:rPr>
              <w:t>Other school grants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22E15F0F" w14:textId="02F6AE1D" w:rsidR="0072135B" w:rsidRPr="006E2E21" w:rsidRDefault="0086613F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9</w:t>
            </w:r>
            <w:r w:rsidR="00C80806" w:rsidRPr="006E2E21">
              <w:rPr>
                <w:rFonts w:ascii="Arial" w:hAnsi="Arial" w:cs="Arial"/>
                <w:szCs w:val="24"/>
              </w:rPr>
              <w:t>1</w:t>
            </w:r>
            <w:r w:rsidR="00253022" w:rsidRPr="006E2E21">
              <w:rPr>
                <w:rFonts w:ascii="Arial" w:hAnsi="Arial" w:cs="Arial"/>
                <w:szCs w:val="24"/>
              </w:rPr>
              <w:t>,</w:t>
            </w:r>
            <w:r w:rsidR="00C80806" w:rsidRPr="006E2E21">
              <w:rPr>
                <w:rFonts w:ascii="Arial" w:hAnsi="Arial" w:cs="Arial"/>
                <w:szCs w:val="24"/>
              </w:rPr>
              <w:t>733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vAlign w:val="center"/>
          </w:tcPr>
          <w:p w14:paraId="3B0898B1" w14:textId="58B2D401" w:rsidR="0072135B" w:rsidRPr="006E2E21" w:rsidRDefault="00461690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9</w:t>
            </w:r>
            <w:r w:rsidR="00C80806" w:rsidRPr="006E2E21">
              <w:rPr>
                <w:rFonts w:ascii="Arial" w:hAnsi="Arial" w:cs="Arial"/>
                <w:szCs w:val="24"/>
              </w:rPr>
              <w:t>1</w:t>
            </w:r>
            <w:r w:rsidR="00253022" w:rsidRPr="006E2E21">
              <w:rPr>
                <w:rFonts w:ascii="Arial" w:hAnsi="Arial" w:cs="Arial"/>
                <w:szCs w:val="24"/>
              </w:rPr>
              <w:t>,</w:t>
            </w:r>
            <w:r w:rsidR="00C80806" w:rsidRPr="006E2E21">
              <w:rPr>
                <w:rFonts w:ascii="Arial" w:hAnsi="Arial" w:cs="Arial"/>
                <w:szCs w:val="24"/>
              </w:rPr>
              <w:t>733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noWrap/>
            <w:vAlign w:val="center"/>
          </w:tcPr>
          <w:p w14:paraId="53D69AC3" w14:textId="77777777" w:rsidR="0072135B" w:rsidRPr="006E2E21" w:rsidRDefault="005A0208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6AFC0A39" w14:textId="77777777" w:rsidR="0072135B" w:rsidRPr="006E2E21" w:rsidRDefault="005A0208" w:rsidP="00EA6C8E">
            <w:pPr>
              <w:jc w:val="right"/>
              <w:rPr>
                <w:rFonts w:ascii="Arial" w:hAnsi="Arial" w:cs="Arial"/>
                <w:szCs w:val="24"/>
              </w:rPr>
            </w:pPr>
            <w:r w:rsidRPr="006E2E21">
              <w:rPr>
                <w:rFonts w:ascii="Arial" w:hAnsi="Arial" w:cs="Arial"/>
                <w:szCs w:val="24"/>
              </w:rPr>
              <w:t>-</w:t>
            </w:r>
          </w:p>
        </w:tc>
      </w:tr>
      <w:tr w:rsidR="00AA7BCF" w:rsidRPr="00AA7BCF" w14:paraId="4D963DFD" w14:textId="77777777" w:rsidTr="00BC1D3F">
        <w:trPr>
          <w:trHeight w:val="343"/>
          <w:jc w:val="center"/>
        </w:trPr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554B67" w14:textId="77777777" w:rsidR="0072135B" w:rsidRPr="0057135A" w:rsidRDefault="0072135B" w:rsidP="00EA6C8E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 w:rsidRPr="0057135A">
              <w:rPr>
                <w:rFonts w:ascii="Arial" w:hAnsi="Arial" w:cs="Arial"/>
                <w:b/>
                <w:szCs w:val="24"/>
              </w:rPr>
              <w:t>Total</w:t>
            </w:r>
            <w:r w:rsidR="005A0208" w:rsidRPr="0057135A">
              <w:rPr>
                <w:rFonts w:ascii="Arial" w:hAnsi="Arial" w:cs="Arial"/>
                <w:b/>
                <w:szCs w:val="24"/>
              </w:rPr>
              <w:t xml:space="preserve"> </w:t>
            </w:r>
            <w:r w:rsidR="008E7258" w:rsidRPr="0057135A">
              <w:rPr>
                <w:rFonts w:ascii="Arial" w:hAnsi="Arial" w:cs="Arial"/>
                <w:b/>
                <w:szCs w:val="24"/>
              </w:rPr>
              <w:t>S</w:t>
            </w:r>
            <w:r w:rsidR="005A0208" w:rsidRPr="0057135A">
              <w:rPr>
                <w:rFonts w:ascii="Arial" w:hAnsi="Arial" w:cs="Arial"/>
                <w:b/>
                <w:szCs w:val="24"/>
              </w:rPr>
              <w:t xml:space="preserve">chools </w:t>
            </w:r>
            <w:r w:rsidR="008E7258" w:rsidRPr="0057135A">
              <w:rPr>
                <w:rFonts w:ascii="Arial" w:hAnsi="Arial" w:cs="Arial"/>
                <w:b/>
                <w:szCs w:val="24"/>
              </w:rPr>
              <w:t>B</w:t>
            </w:r>
            <w:r w:rsidR="005A0208" w:rsidRPr="0057135A">
              <w:rPr>
                <w:rFonts w:ascii="Arial" w:hAnsi="Arial" w:cs="Arial"/>
                <w:b/>
                <w:szCs w:val="24"/>
              </w:rPr>
              <w:t>udget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A7201" w14:textId="40FD6044" w:rsidR="0072135B" w:rsidRPr="006E2E21" w:rsidRDefault="003E143F" w:rsidP="00EA6C8E">
            <w:pPr>
              <w:spacing w:before="20"/>
              <w:jc w:val="right"/>
              <w:rPr>
                <w:rFonts w:ascii="Arial" w:hAnsi="Arial" w:cs="Arial"/>
                <w:b/>
                <w:szCs w:val="24"/>
              </w:rPr>
            </w:pPr>
            <w:r w:rsidRPr="006E2E21">
              <w:rPr>
                <w:rFonts w:ascii="Arial" w:hAnsi="Arial" w:cs="Arial"/>
                <w:b/>
                <w:szCs w:val="24"/>
              </w:rPr>
              <w:t>9</w:t>
            </w:r>
            <w:r w:rsidR="00461690" w:rsidRPr="006E2E21">
              <w:rPr>
                <w:rFonts w:ascii="Arial" w:hAnsi="Arial" w:cs="Arial"/>
                <w:b/>
                <w:szCs w:val="24"/>
              </w:rPr>
              <w:t>94</w:t>
            </w:r>
            <w:r w:rsidR="003C5E66" w:rsidRPr="006E2E21">
              <w:rPr>
                <w:rFonts w:ascii="Arial" w:hAnsi="Arial" w:cs="Arial"/>
                <w:b/>
                <w:szCs w:val="24"/>
              </w:rPr>
              <w:t>,</w:t>
            </w:r>
            <w:r w:rsidR="00C80806" w:rsidRPr="006E2E21">
              <w:rPr>
                <w:rFonts w:ascii="Arial" w:hAnsi="Arial" w:cs="Arial"/>
                <w:b/>
                <w:szCs w:val="24"/>
              </w:rPr>
              <w:t>67</w:t>
            </w:r>
            <w:r w:rsidR="00AB47D3">
              <w:rPr>
                <w:rFonts w:ascii="Arial" w:hAnsi="Arial" w:cs="Arial"/>
                <w:b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346410" w14:textId="5419E4BC" w:rsidR="0072135B" w:rsidRPr="006E2E21" w:rsidRDefault="00B16F45" w:rsidP="00EA6C8E">
            <w:pPr>
              <w:spacing w:before="20"/>
              <w:jc w:val="right"/>
              <w:rPr>
                <w:rFonts w:ascii="Arial" w:hAnsi="Arial" w:cs="Arial"/>
                <w:b/>
                <w:szCs w:val="24"/>
              </w:rPr>
            </w:pPr>
            <w:r w:rsidRPr="006E2E21">
              <w:rPr>
                <w:rFonts w:ascii="Arial" w:hAnsi="Arial" w:cs="Arial"/>
                <w:b/>
                <w:szCs w:val="24"/>
              </w:rPr>
              <w:t>1,0</w:t>
            </w:r>
            <w:r w:rsidR="00C41DD3" w:rsidRPr="006E2E21">
              <w:rPr>
                <w:rFonts w:ascii="Arial" w:hAnsi="Arial" w:cs="Arial"/>
                <w:b/>
                <w:szCs w:val="24"/>
              </w:rPr>
              <w:t>20</w:t>
            </w:r>
            <w:r w:rsidRPr="006E2E21">
              <w:rPr>
                <w:rFonts w:ascii="Arial" w:hAnsi="Arial" w:cs="Arial"/>
                <w:b/>
                <w:szCs w:val="24"/>
              </w:rPr>
              <w:t>,</w:t>
            </w:r>
            <w:r w:rsidR="00C41DD3" w:rsidRPr="006E2E21">
              <w:rPr>
                <w:rFonts w:ascii="Arial" w:hAnsi="Arial" w:cs="Arial"/>
                <w:b/>
                <w:szCs w:val="24"/>
              </w:rPr>
              <w:t>806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EF692B" w14:textId="4AA6AAB5" w:rsidR="0072135B" w:rsidRPr="006E2E21" w:rsidRDefault="005E4AE5" w:rsidP="00EA6C8E">
            <w:pPr>
              <w:spacing w:before="20"/>
              <w:jc w:val="right"/>
              <w:rPr>
                <w:rFonts w:ascii="Arial" w:hAnsi="Arial" w:cs="Arial"/>
                <w:b/>
                <w:szCs w:val="24"/>
              </w:rPr>
            </w:pPr>
            <w:r w:rsidRPr="006E2E21">
              <w:rPr>
                <w:rFonts w:ascii="Arial" w:hAnsi="Arial" w:cs="Arial"/>
                <w:b/>
                <w:bCs/>
                <w:szCs w:val="24"/>
              </w:rPr>
              <w:t>2</w:t>
            </w:r>
            <w:r w:rsidR="00C41DD3" w:rsidRPr="006E2E21"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6E2E21">
              <w:rPr>
                <w:rFonts w:ascii="Arial" w:hAnsi="Arial" w:cs="Arial"/>
                <w:b/>
                <w:bCs/>
                <w:szCs w:val="24"/>
              </w:rPr>
              <w:t>,</w:t>
            </w:r>
            <w:r w:rsidR="00C41DD3" w:rsidRPr="006E2E21">
              <w:rPr>
                <w:rFonts w:ascii="Arial" w:hAnsi="Arial" w:cs="Arial"/>
                <w:b/>
                <w:bCs/>
                <w:szCs w:val="24"/>
              </w:rPr>
              <w:t>12</w:t>
            </w:r>
            <w:r w:rsidR="004C512E" w:rsidRPr="006E2E21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268AC" w14:textId="06D2BCFB" w:rsidR="0072135B" w:rsidRPr="006E2E21" w:rsidRDefault="005E4AE5" w:rsidP="00767BEC">
            <w:pPr>
              <w:spacing w:before="20"/>
              <w:jc w:val="right"/>
              <w:rPr>
                <w:rFonts w:ascii="Arial" w:hAnsi="Arial" w:cs="Arial"/>
                <w:b/>
                <w:szCs w:val="24"/>
              </w:rPr>
            </w:pPr>
            <w:r w:rsidRPr="006E2E21">
              <w:rPr>
                <w:rFonts w:ascii="Arial" w:hAnsi="Arial" w:cs="Arial"/>
                <w:b/>
                <w:szCs w:val="24"/>
              </w:rPr>
              <w:t>2.6</w:t>
            </w:r>
          </w:p>
        </w:tc>
      </w:tr>
    </w:tbl>
    <w:p w14:paraId="17D4F2E5" w14:textId="6BBA546B" w:rsidR="007350D7" w:rsidRPr="006E2E21" w:rsidRDefault="007350D7" w:rsidP="000F1D1C">
      <w:pPr>
        <w:pStyle w:val="Heading2"/>
        <w:keepNext w:val="0"/>
        <w:tabs>
          <w:tab w:val="clear" w:pos="576"/>
          <w:tab w:val="num" w:pos="426"/>
        </w:tabs>
        <w:spacing w:before="240" w:after="0"/>
        <w:ind w:left="426" w:hanging="568"/>
        <w:jc w:val="left"/>
        <w:rPr>
          <w:rFonts w:ascii="Arial" w:hAnsi="Arial" w:cs="Arial"/>
          <w:szCs w:val="24"/>
        </w:rPr>
      </w:pPr>
      <w:r w:rsidRPr="006E2E21">
        <w:rPr>
          <w:rFonts w:ascii="Arial" w:hAnsi="Arial" w:cs="Arial"/>
          <w:szCs w:val="24"/>
        </w:rPr>
        <w:t xml:space="preserve">The </w:t>
      </w:r>
      <w:r w:rsidR="00033619" w:rsidRPr="006E2E21">
        <w:rPr>
          <w:rFonts w:ascii="Arial" w:hAnsi="Arial" w:cs="Arial"/>
          <w:szCs w:val="24"/>
        </w:rPr>
        <w:t xml:space="preserve">budget has been updated </w:t>
      </w:r>
      <w:r w:rsidR="005E4668" w:rsidRPr="006E2E21">
        <w:rPr>
          <w:rFonts w:ascii="Arial" w:hAnsi="Arial" w:cs="Arial"/>
          <w:szCs w:val="24"/>
        </w:rPr>
        <w:t>for</w:t>
      </w:r>
      <w:r w:rsidR="00033619" w:rsidRPr="006E2E21">
        <w:rPr>
          <w:rFonts w:ascii="Arial" w:hAnsi="Arial" w:cs="Arial"/>
          <w:szCs w:val="24"/>
        </w:rPr>
        <w:t xml:space="preserve"> the following changes to the Dedicated Schools Grant (DSG) allocations</w:t>
      </w:r>
      <w:r w:rsidRPr="006E2E21">
        <w:rPr>
          <w:rFonts w:ascii="Arial" w:hAnsi="Arial" w:cs="Arial"/>
          <w:szCs w:val="24"/>
        </w:rPr>
        <w:t>:</w:t>
      </w:r>
    </w:p>
    <w:p w14:paraId="79173C61" w14:textId="4329E107" w:rsidR="00350871" w:rsidRPr="000E28C2" w:rsidRDefault="00350871" w:rsidP="00E70E62">
      <w:pPr>
        <w:pStyle w:val="Heading2"/>
        <w:keepNext w:val="0"/>
        <w:numPr>
          <w:ilvl w:val="0"/>
          <w:numId w:val="9"/>
        </w:numPr>
        <w:spacing w:before="240" w:after="0"/>
        <w:jc w:val="left"/>
        <w:rPr>
          <w:rFonts w:ascii="Arial" w:hAnsi="Arial" w:cs="Arial"/>
          <w:szCs w:val="24"/>
        </w:rPr>
      </w:pPr>
      <w:r w:rsidRPr="000E28C2">
        <w:rPr>
          <w:rFonts w:ascii="Arial" w:hAnsi="Arial" w:cs="Arial"/>
          <w:szCs w:val="24"/>
        </w:rPr>
        <w:t xml:space="preserve">The Early Years Block </w:t>
      </w:r>
      <w:r w:rsidR="006C0885" w:rsidRPr="000E28C2">
        <w:rPr>
          <w:rFonts w:ascii="Arial" w:hAnsi="Arial" w:cs="Arial"/>
          <w:szCs w:val="24"/>
        </w:rPr>
        <w:t xml:space="preserve">DSG </w:t>
      </w:r>
      <w:r w:rsidR="008559E9" w:rsidRPr="000E28C2">
        <w:rPr>
          <w:rFonts w:ascii="Arial" w:hAnsi="Arial" w:cs="Arial"/>
          <w:szCs w:val="24"/>
        </w:rPr>
        <w:t xml:space="preserve">allocation </w:t>
      </w:r>
      <w:r w:rsidRPr="000E28C2">
        <w:rPr>
          <w:rFonts w:ascii="Arial" w:hAnsi="Arial" w:cs="Arial"/>
          <w:szCs w:val="24"/>
        </w:rPr>
        <w:t xml:space="preserve">has been updated to reflect the </w:t>
      </w:r>
      <w:r w:rsidR="006C1A47" w:rsidRPr="007E2734">
        <w:rPr>
          <w:rFonts w:ascii="Arial" w:hAnsi="Arial" w:cs="Arial"/>
          <w:szCs w:val="24"/>
        </w:rPr>
        <w:t xml:space="preserve">estimated adjustment for the </w:t>
      </w:r>
      <w:r w:rsidR="00C16B23" w:rsidRPr="007E2734">
        <w:rPr>
          <w:rFonts w:ascii="Arial" w:hAnsi="Arial" w:cs="Arial"/>
          <w:szCs w:val="24"/>
        </w:rPr>
        <w:t>January 202</w:t>
      </w:r>
      <w:r w:rsidR="007E2734" w:rsidRPr="007E2734">
        <w:rPr>
          <w:rFonts w:ascii="Arial" w:hAnsi="Arial" w:cs="Arial"/>
          <w:szCs w:val="24"/>
        </w:rPr>
        <w:t>3</w:t>
      </w:r>
      <w:r w:rsidR="00C16B23" w:rsidRPr="007E2734">
        <w:rPr>
          <w:rFonts w:ascii="Arial" w:hAnsi="Arial" w:cs="Arial"/>
          <w:szCs w:val="24"/>
        </w:rPr>
        <w:t xml:space="preserve"> census</w:t>
      </w:r>
      <w:r w:rsidR="00C16B23" w:rsidRPr="000E28C2">
        <w:rPr>
          <w:rFonts w:ascii="Arial" w:hAnsi="Arial" w:cs="Arial"/>
          <w:szCs w:val="24"/>
        </w:rPr>
        <w:t xml:space="preserve">, which is a </w:t>
      </w:r>
      <w:r w:rsidR="000E28C2" w:rsidRPr="000E28C2">
        <w:rPr>
          <w:rFonts w:ascii="Arial" w:hAnsi="Arial" w:cs="Arial"/>
          <w:szCs w:val="24"/>
        </w:rPr>
        <w:t>reduction of £787,000</w:t>
      </w:r>
      <w:r w:rsidR="002A7DA8" w:rsidRPr="000E28C2">
        <w:rPr>
          <w:rFonts w:ascii="Arial" w:hAnsi="Arial" w:cs="Arial"/>
          <w:szCs w:val="24"/>
        </w:rPr>
        <w:t>.</w:t>
      </w:r>
      <w:r w:rsidR="00AA55A8" w:rsidRPr="000E28C2">
        <w:rPr>
          <w:rFonts w:ascii="Arial" w:hAnsi="Arial" w:cs="Arial"/>
          <w:szCs w:val="24"/>
        </w:rPr>
        <w:t xml:space="preserve"> </w:t>
      </w:r>
    </w:p>
    <w:p w14:paraId="0C7181E8" w14:textId="23588CB5" w:rsidR="00D2272A" w:rsidRPr="00412417" w:rsidRDefault="00B24843" w:rsidP="00E70E62">
      <w:pPr>
        <w:pStyle w:val="Heading2"/>
        <w:keepNext w:val="0"/>
        <w:numPr>
          <w:ilvl w:val="0"/>
          <w:numId w:val="9"/>
        </w:numPr>
        <w:spacing w:before="240" w:after="0"/>
        <w:jc w:val="left"/>
        <w:rPr>
          <w:rFonts w:ascii="Arial" w:hAnsi="Arial" w:cs="Arial"/>
          <w:szCs w:val="24"/>
        </w:rPr>
      </w:pPr>
      <w:r w:rsidRPr="00412417">
        <w:rPr>
          <w:rFonts w:ascii="Arial" w:hAnsi="Arial" w:cs="Arial"/>
          <w:szCs w:val="24"/>
        </w:rPr>
        <w:lastRenderedPageBreak/>
        <w:t xml:space="preserve">The Schools Block budget has been reduced by </w:t>
      </w:r>
      <w:r w:rsidR="00D2272A" w:rsidRPr="00412417">
        <w:rPr>
          <w:rFonts w:ascii="Arial" w:hAnsi="Arial" w:cs="Arial"/>
          <w:szCs w:val="24"/>
        </w:rPr>
        <w:t>£</w:t>
      </w:r>
      <w:r w:rsidR="004B1706">
        <w:rPr>
          <w:rFonts w:ascii="Arial" w:hAnsi="Arial" w:cs="Arial"/>
          <w:szCs w:val="24"/>
        </w:rPr>
        <w:t>14</w:t>
      </w:r>
      <w:r w:rsidR="00DB7E38">
        <w:rPr>
          <w:rFonts w:ascii="Arial" w:hAnsi="Arial" w:cs="Arial"/>
          <w:szCs w:val="24"/>
        </w:rPr>
        <w:t>.2m, £13,958,000 in relation to Business Rates allocation</w:t>
      </w:r>
      <w:r w:rsidR="00842A0E">
        <w:rPr>
          <w:rFonts w:ascii="Arial" w:hAnsi="Arial" w:cs="Arial"/>
          <w:szCs w:val="24"/>
        </w:rPr>
        <w:t xml:space="preserve"> which</w:t>
      </w:r>
      <w:r w:rsidR="00DB7E38">
        <w:rPr>
          <w:rFonts w:ascii="Arial" w:hAnsi="Arial" w:cs="Arial"/>
          <w:szCs w:val="24"/>
        </w:rPr>
        <w:t xml:space="preserve"> </w:t>
      </w:r>
      <w:r w:rsidR="00842A0E">
        <w:rPr>
          <w:rFonts w:ascii="Arial" w:hAnsi="Arial" w:cs="Arial"/>
          <w:szCs w:val="24"/>
        </w:rPr>
        <w:t xml:space="preserve">was anticipated </w:t>
      </w:r>
      <w:r w:rsidR="00DB7E38">
        <w:rPr>
          <w:rFonts w:ascii="Arial" w:hAnsi="Arial" w:cs="Arial"/>
          <w:szCs w:val="24"/>
        </w:rPr>
        <w:t xml:space="preserve">and </w:t>
      </w:r>
      <w:r w:rsidR="00D2272A" w:rsidRPr="00412417">
        <w:rPr>
          <w:rFonts w:ascii="Arial" w:hAnsi="Arial" w:cs="Arial"/>
          <w:szCs w:val="24"/>
        </w:rPr>
        <w:t>£2</w:t>
      </w:r>
      <w:r w:rsidR="00412417" w:rsidRPr="00412417">
        <w:rPr>
          <w:rFonts w:ascii="Arial" w:hAnsi="Arial" w:cs="Arial"/>
          <w:szCs w:val="24"/>
        </w:rPr>
        <w:t>57</w:t>
      </w:r>
      <w:r w:rsidR="00D2272A" w:rsidRPr="00412417">
        <w:rPr>
          <w:rFonts w:ascii="Arial" w:hAnsi="Arial" w:cs="Arial"/>
          <w:szCs w:val="24"/>
        </w:rPr>
        <w:t>,000 in respect of a school that converted to academy.</w:t>
      </w:r>
    </w:p>
    <w:p w14:paraId="56FD8BFA" w14:textId="49E1976C" w:rsidR="009C604A" w:rsidRPr="00E30244" w:rsidRDefault="009C604A" w:rsidP="000F1D1C">
      <w:pPr>
        <w:pStyle w:val="Heading2"/>
        <w:keepNext w:val="0"/>
        <w:tabs>
          <w:tab w:val="clear" w:pos="576"/>
          <w:tab w:val="num" w:pos="426"/>
        </w:tabs>
        <w:spacing w:before="240" w:after="0"/>
        <w:ind w:left="426" w:hanging="568"/>
        <w:jc w:val="left"/>
        <w:rPr>
          <w:rFonts w:ascii="Arial" w:hAnsi="Arial" w:cs="Arial"/>
          <w:szCs w:val="24"/>
        </w:rPr>
      </w:pPr>
      <w:r w:rsidRPr="00591C98">
        <w:rPr>
          <w:rFonts w:ascii="Arial" w:hAnsi="Arial" w:cs="Arial"/>
          <w:szCs w:val="24"/>
        </w:rPr>
        <w:t>Th</w:t>
      </w:r>
      <w:r w:rsidR="003E143F" w:rsidRPr="00591C98">
        <w:rPr>
          <w:rFonts w:ascii="Arial" w:hAnsi="Arial" w:cs="Arial"/>
          <w:szCs w:val="24"/>
        </w:rPr>
        <w:t>e forecast position on the</w:t>
      </w:r>
      <w:r w:rsidR="00033619" w:rsidRPr="00591C98">
        <w:rPr>
          <w:rFonts w:ascii="Arial" w:hAnsi="Arial" w:cs="Arial"/>
          <w:szCs w:val="24"/>
        </w:rPr>
        <w:t xml:space="preserve"> </w:t>
      </w:r>
      <w:r w:rsidR="003E143F" w:rsidRPr="00591C98">
        <w:rPr>
          <w:rFonts w:ascii="Arial" w:hAnsi="Arial" w:cs="Arial"/>
          <w:szCs w:val="24"/>
        </w:rPr>
        <w:t>DSG deficit reserve at the end of 202</w:t>
      </w:r>
      <w:r w:rsidR="00591C98" w:rsidRPr="00591C98">
        <w:rPr>
          <w:rFonts w:ascii="Arial" w:hAnsi="Arial" w:cs="Arial"/>
          <w:szCs w:val="24"/>
        </w:rPr>
        <w:t>2</w:t>
      </w:r>
      <w:r w:rsidR="003E143F" w:rsidRPr="00591C98">
        <w:rPr>
          <w:rFonts w:ascii="Arial" w:hAnsi="Arial" w:cs="Arial"/>
          <w:szCs w:val="24"/>
        </w:rPr>
        <w:t>/2</w:t>
      </w:r>
      <w:r w:rsidR="00591C98" w:rsidRPr="00591C98">
        <w:rPr>
          <w:rFonts w:ascii="Arial" w:hAnsi="Arial" w:cs="Arial"/>
          <w:szCs w:val="24"/>
        </w:rPr>
        <w:t>3</w:t>
      </w:r>
      <w:r w:rsidR="003E143F" w:rsidRPr="00591C98">
        <w:rPr>
          <w:rFonts w:ascii="Arial" w:hAnsi="Arial" w:cs="Arial"/>
          <w:szCs w:val="24"/>
        </w:rPr>
        <w:t xml:space="preserve"> is</w:t>
      </w:r>
      <w:r w:rsidR="003E143F" w:rsidRPr="00E30244">
        <w:rPr>
          <w:rFonts w:ascii="Arial" w:hAnsi="Arial" w:cs="Arial"/>
          <w:szCs w:val="24"/>
        </w:rPr>
        <w:t xml:space="preserve"> £</w:t>
      </w:r>
      <w:r w:rsidR="00E30244" w:rsidRPr="00E30244">
        <w:rPr>
          <w:rFonts w:ascii="Arial" w:hAnsi="Arial" w:cs="Arial"/>
          <w:szCs w:val="24"/>
        </w:rPr>
        <w:t>86</w:t>
      </w:r>
      <w:r w:rsidR="003E143F" w:rsidRPr="00E30244">
        <w:rPr>
          <w:rFonts w:ascii="Arial" w:hAnsi="Arial" w:cs="Arial"/>
          <w:szCs w:val="24"/>
        </w:rPr>
        <w:t>m:</w:t>
      </w:r>
    </w:p>
    <w:tbl>
      <w:tblPr>
        <w:tblW w:w="808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1417"/>
        <w:gridCol w:w="1276"/>
      </w:tblGrid>
      <w:tr w:rsidR="00AA7BCF" w:rsidRPr="00AA7BCF" w14:paraId="7C78F355" w14:textId="77777777" w:rsidTr="006501FA">
        <w:trPr>
          <w:trHeight w:hRule="exact" w:val="397"/>
        </w:trPr>
        <w:tc>
          <w:tcPr>
            <w:tcW w:w="5103" w:type="dxa"/>
            <w:shd w:val="clear" w:color="auto" w:fill="auto"/>
          </w:tcPr>
          <w:p w14:paraId="57EFD3DB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269F50D3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C8771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14DD42" w14:textId="77777777" w:rsidR="003A29DF" w:rsidRPr="00591C98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b/>
                <w:szCs w:val="24"/>
              </w:rPr>
            </w:pPr>
            <w:r w:rsidRPr="00591C98">
              <w:rPr>
                <w:rFonts w:ascii="Arial" w:hAnsi="Arial" w:cs="Arial"/>
                <w:b/>
                <w:szCs w:val="24"/>
              </w:rPr>
              <w:t>£000</w:t>
            </w:r>
          </w:p>
        </w:tc>
      </w:tr>
      <w:tr w:rsidR="004F5D1E" w:rsidRPr="004F5D1E" w14:paraId="2C336D3A" w14:textId="77777777" w:rsidTr="006501FA">
        <w:trPr>
          <w:trHeight w:hRule="exact" w:val="397"/>
        </w:trPr>
        <w:tc>
          <w:tcPr>
            <w:tcW w:w="5103" w:type="dxa"/>
            <w:shd w:val="clear" w:color="auto" w:fill="auto"/>
          </w:tcPr>
          <w:p w14:paraId="471BF339" w14:textId="2D40F9C5" w:rsidR="003A29DF" w:rsidRPr="00591C98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  <w:r w:rsidRPr="00591C98">
              <w:rPr>
                <w:rFonts w:ascii="Arial" w:hAnsi="Arial" w:cs="Arial"/>
                <w:szCs w:val="24"/>
              </w:rPr>
              <w:t>Balance brought forward from 20</w:t>
            </w:r>
            <w:r w:rsidR="00B17CE3" w:rsidRPr="00591C98">
              <w:rPr>
                <w:rFonts w:ascii="Arial" w:hAnsi="Arial" w:cs="Arial"/>
                <w:szCs w:val="24"/>
              </w:rPr>
              <w:t>2</w:t>
            </w:r>
            <w:r w:rsidR="00591C98" w:rsidRPr="00591C98">
              <w:rPr>
                <w:rFonts w:ascii="Arial" w:hAnsi="Arial" w:cs="Arial"/>
                <w:szCs w:val="24"/>
              </w:rPr>
              <w:t>1</w:t>
            </w:r>
            <w:r w:rsidRPr="00591C98">
              <w:rPr>
                <w:rFonts w:ascii="Arial" w:hAnsi="Arial" w:cs="Arial"/>
                <w:szCs w:val="24"/>
              </w:rPr>
              <w:t>/</w:t>
            </w:r>
            <w:r w:rsidR="000C15CC" w:rsidRPr="00591C98">
              <w:rPr>
                <w:rFonts w:ascii="Arial" w:hAnsi="Arial" w:cs="Arial"/>
                <w:szCs w:val="24"/>
              </w:rPr>
              <w:t>2</w:t>
            </w:r>
            <w:r w:rsidR="00591C98" w:rsidRPr="00591C9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164EA88D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A4F0B4" w14:textId="77777777" w:rsidR="003A29DF" w:rsidRPr="004F5D1E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B30E2B" w14:textId="15791BBA" w:rsidR="003A29DF" w:rsidRPr="004F5D1E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szCs w:val="24"/>
              </w:rPr>
            </w:pPr>
            <w:r w:rsidRPr="004F5D1E">
              <w:rPr>
                <w:rFonts w:ascii="Arial" w:hAnsi="Arial" w:cs="Arial"/>
                <w:szCs w:val="24"/>
              </w:rPr>
              <w:t>(</w:t>
            </w:r>
            <w:r w:rsidR="004F5D1E" w:rsidRPr="004F5D1E">
              <w:rPr>
                <w:rFonts w:ascii="Arial" w:hAnsi="Arial" w:cs="Arial"/>
                <w:szCs w:val="24"/>
              </w:rPr>
              <w:t>60</w:t>
            </w:r>
            <w:r w:rsidR="00A07969" w:rsidRPr="004F5D1E">
              <w:rPr>
                <w:rFonts w:ascii="Arial" w:hAnsi="Arial" w:cs="Arial"/>
                <w:szCs w:val="24"/>
              </w:rPr>
              <w:t>,</w:t>
            </w:r>
            <w:r w:rsidR="004F5D1E" w:rsidRPr="004F5D1E">
              <w:rPr>
                <w:rFonts w:ascii="Arial" w:hAnsi="Arial" w:cs="Arial"/>
                <w:szCs w:val="24"/>
              </w:rPr>
              <w:t>022</w:t>
            </w:r>
            <w:r w:rsidRPr="004F5D1E">
              <w:rPr>
                <w:rFonts w:ascii="Arial" w:hAnsi="Arial" w:cs="Arial"/>
                <w:szCs w:val="24"/>
              </w:rPr>
              <w:t>)</w:t>
            </w:r>
          </w:p>
        </w:tc>
      </w:tr>
      <w:tr w:rsidR="00AA7BCF" w:rsidRPr="00AA7BCF" w14:paraId="1F6ADF8F" w14:textId="77777777" w:rsidTr="006501FA">
        <w:trPr>
          <w:trHeight w:hRule="exact" w:val="397"/>
        </w:trPr>
        <w:tc>
          <w:tcPr>
            <w:tcW w:w="5103" w:type="dxa"/>
            <w:shd w:val="clear" w:color="auto" w:fill="auto"/>
          </w:tcPr>
          <w:p w14:paraId="4BF2093C" w14:textId="3F4E1A5A" w:rsidR="003A29DF" w:rsidRPr="00591C98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  <w:r w:rsidRPr="00591C98">
              <w:rPr>
                <w:rFonts w:ascii="Arial" w:hAnsi="Arial" w:cs="Arial"/>
                <w:szCs w:val="24"/>
              </w:rPr>
              <w:t>20</w:t>
            </w:r>
            <w:r w:rsidR="000C15CC" w:rsidRPr="00591C98">
              <w:rPr>
                <w:rFonts w:ascii="Arial" w:hAnsi="Arial" w:cs="Arial"/>
                <w:szCs w:val="24"/>
              </w:rPr>
              <w:t>2</w:t>
            </w:r>
            <w:r w:rsidR="00591C98" w:rsidRPr="00591C98">
              <w:rPr>
                <w:rFonts w:ascii="Arial" w:hAnsi="Arial" w:cs="Arial"/>
                <w:szCs w:val="24"/>
              </w:rPr>
              <w:t>2</w:t>
            </w:r>
            <w:r w:rsidRPr="00591C98">
              <w:rPr>
                <w:rFonts w:ascii="Arial" w:hAnsi="Arial" w:cs="Arial"/>
                <w:szCs w:val="24"/>
              </w:rPr>
              <w:t>/2</w:t>
            </w:r>
            <w:r w:rsidR="00591C98" w:rsidRPr="00591C98">
              <w:rPr>
                <w:rFonts w:ascii="Arial" w:hAnsi="Arial" w:cs="Arial"/>
                <w:szCs w:val="24"/>
              </w:rPr>
              <w:t>3</w:t>
            </w:r>
            <w:r w:rsidRPr="00591C98">
              <w:rPr>
                <w:rFonts w:ascii="Arial" w:hAnsi="Arial" w:cs="Arial"/>
                <w:szCs w:val="24"/>
              </w:rPr>
              <w:t xml:space="preserve"> overspend</w:t>
            </w:r>
          </w:p>
        </w:tc>
        <w:tc>
          <w:tcPr>
            <w:tcW w:w="284" w:type="dxa"/>
            <w:shd w:val="clear" w:color="auto" w:fill="auto"/>
          </w:tcPr>
          <w:p w14:paraId="1F59215C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6182BD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E16EF7" w14:textId="7BE303BA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szCs w:val="24"/>
              </w:rPr>
            </w:pPr>
            <w:r w:rsidRPr="00E30244">
              <w:rPr>
                <w:rFonts w:ascii="Arial" w:hAnsi="Arial" w:cs="Arial"/>
                <w:szCs w:val="24"/>
              </w:rPr>
              <w:t>(</w:t>
            </w:r>
            <w:r w:rsidR="00A07969" w:rsidRPr="00E30244">
              <w:rPr>
                <w:rFonts w:ascii="Arial" w:hAnsi="Arial" w:cs="Arial"/>
                <w:szCs w:val="24"/>
              </w:rPr>
              <w:t>2</w:t>
            </w:r>
            <w:r w:rsidR="00F06626" w:rsidRPr="00E30244">
              <w:rPr>
                <w:rFonts w:ascii="Arial" w:hAnsi="Arial" w:cs="Arial"/>
                <w:szCs w:val="24"/>
              </w:rPr>
              <w:t>6</w:t>
            </w:r>
            <w:r w:rsidR="00A07969" w:rsidRPr="00E30244">
              <w:rPr>
                <w:rFonts w:ascii="Arial" w:hAnsi="Arial" w:cs="Arial"/>
                <w:szCs w:val="24"/>
              </w:rPr>
              <w:t>,</w:t>
            </w:r>
            <w:r w:rsidR="00F06626" w:rsidRPr="00E30244">
              <w:rPr>
                <w:rFonts w:ascii="Arial" w:hAnsi="Arial" w:cs="Arial"/>
                <w:szCs w:val="24"/>
              </w:rPr>
              <w:t>12</w:t>
            </w:r>
            <w:r w:rsidR="005A442B" w:rsidRPr="00E30244">
              <w:rPr>
                <w:rFonts w:ascii="Arial" w:hAnsi="Arial" w:cs="Arial"/>
                <w:szCs w:val="24"/>
              </w:rPr>
              <w:t>7</w:t>
            </w:r>
            <w:r w:rsidRPr="00E30244">
              <w:rPr>
                <w:rFonts w:ascii="Arial" w:hAnsi="Arial" w:cs="Arial"/>
                <w:szCs w:val="24"/>
              </w:rPr>
              <w:t>)</w:t>
            </w:r>
          </w:p>
        </w:tc>
      </w:tr>
      <w:tr w:rsidR="004F5D1E" w:rsidRPr="00AA7BCF" w14:paraId="54BDB236" w14:textId="77777777" w:rsidTr="00197003">
        <w:trPr>
          <w:trHeight w:hRule="exact" w:val="447"/>
        </w:trPr>
        <w:tc>
          <w:tcPr>
            <w:tcW w:w="5387" w:type="dxa"/>
            <w:gridSpan w:val="2"/>
            <w:shd w:val="clear" w:color="auto" w:fill="auto"/>
          </w:tcPr>
          <w:p w14:paraId="620F4518" w14:textId="7871BDA1" w:rsidR="003A29DF" w:rsidRPr="00591C98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left"/>
              <w:rPr>
                <w:rFonts w:ascii="Arial" w:hAnsi="Arial" w:cs="Arial"/>
                <w:szCs w:val="24"/>
              </w:rPr>
            </w:pPr>
            <w:r w:rsidRPr="00591C98">
              <w:rPr>
                <w:rFonts w:ascii="Arial" w:hAnsi="Arial" w:cs="Arial"/>
                <w:szCs w:val="24"/>
              </w:rPr>
              <w:t>DSG reserve as at 31.03.2</w:t>
            </w:r>
            <w:r w:rsidR="00591C98" w:rsidRPr="00591C9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A82E1" w14:textId="77777777" w:rsidR="003A29DF" w:rsidRPr="00E30244" w:rsidRDefault="003A29DF" w:rsidP="006501FA">
            <w:pPr>
              <w:pStyle w:val="Heading2"/>
              <w:keepNext w:val="0"/>
              <w:numPr>
                <w:ilvl w:val="0"/>
                <w:numId w:val="0"/>
              </w:numPr>
              <w:spacing w:before="6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DBF7CA" w14:textId="18DF97BE" w:rsidR="003A29DF" w:rsidRPr="00E30244" w:rsidRDefault="003A29DF" w:rsidP="00197003">
            <w:pPr>
              <w:pStyle w:val="Heading2"/>
              <w:keepNext w:val="0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  <w:szCs w:val="24"/>
              </w:rPr>
            </w:pPr>
            <w:r w:rsidRPr="00E30244">
              <w:rPr>
                <w:rFonts w:ascii="Arial" w:hAnsi="Arial" w:cs="Arial"/>
                <w:b/>
                <w:szCs w:val="24"/>
              </w:rPr>
              <w:t>(</w:t>
            </w:r>
            <w:r w:rsidR="00E30244" w:rsidRPr="00E30244">
              <w:rPr>
                <w:rFonts w:ascii="Arial" w:hAnsi="Arial" w:cs="Arial"/>
                <w:b/>
                <w:szCs w:val="24"/>
              </w:rPr>
              <w:t>86</w:t>
            </w:r>
            <w:r w:rsidR="00F70F2B" w:rsidRPr="00E30244">
              <w:rPr>
                <w:rFonts w:ascii="Arial" w:hAnsi="Arial" w:cs="Arial"/>
                <w:b/>
                <w:szCs w:val="24"/>
              </w:rPr>
              <w:t>,</w:t>
            </w:r>
            <w:r w:rsidR="00E30244" w:rsidRPr="00E30244">
              <w:rPr>
                <w:rFonts w:ascii="Arial" w:hAnsi="Arial" w:cs="Arial"/>
                <w:b/>
                <w:szCs w:val="24"/>
              </w:rPr>
              <w:t>149</w:t>
            </w:r>
            <w:r w:rsidRPr="00E30244">
              <w:rPr>
                <w:rFonts w:ascii="Arial" w:hAnsi="Arial" w:cs="Arial"/>
                <w:b/>
                <w:szCs w:val="24"/>
              </w:rPr>
              <w:t>)</w:t>
            </w:r>
          </w:p>
        </w:tc>
      </w:tr>
    </w:tbl>
    <w:p w14:paraId="0C6A9371" w14:textId="77777777" w:rsidR="00A80333" w:rsidRPr="00AA7BCF" w:rsidRDefault="00A80333" w:rsidP="0031354B">
      <w:pPr>
        <w:pStyle w:val="Heading2"/>
        <w:keepNext w:val="0"/>
        <w:numPr>
          <w:ilvl w:val="0"/>
          <w:numId w:val="0"/>
        </w:numPr>
        <w:spacing w:after="0"/>
        <w:ind w:left="578"/>
        <w:jc w:val="left"/>
        <w:rPr>
          <w:rFonts w:ascii="Arial" w:hAnsi="Arial" w:cs="Arial"/>
          <w:color w:val="FF0000"/>
          <w:szCs w:val="24"/>
        </w:rPr>
      </w:pPr>
    </w:p>
    <w:p w14:paraId="6FA71703" w14:textId="181005B3" w:rsidR="0001308E" w:rsidRPr="00591C98" w:rsidRDefault="00D533E0" w:rsidP="00197003">
      <w:pPr>
        <w:pStyle w:val="Heading2"/>
        <w:keepNext w:val="0"/>
        <w:tabs>
          <w:tab w:val="clear" w:pos="576"/>
          <w:tab w:val="num" w:pos="426"/>
        </w:tabs>
        <w:spacing w:after="0"/>
        <w:ind w:left="426" w:hanging="56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local authority continue</w:t>
      </w:r>
      <w:r w:rsidR="00D73357">
        <w:rPr>
          <w:rFonts w:ascii="Arial" w:hAnsi="Arial" w:cs="Arial"/>
          <w:szCs w:val="24"/>
        </w:rPr>
        <w:t>s to take action</w:t>
      </w:r>
      <w:r>
        <w:rPr>
          <w:rFonts w:ascii="Arial" w:hAnsi="Arial" w:cs="Arial"/>
          <w:szCs w:val="24"/>
        </w:rPr>
        <w:t xml:space="preserve"> to try and address the </w:t>
      </w:r>
      <w:r w:rsidR="00B80085">
        <w:rPr>
          <w:rFonts w:ascii="Arial" w:hAnsi="Arial" w:cs="Arial"/>
          <w:szCs w:val="24"/>
        </w:rPr>
        <w:t xml:space="preserve">deficit as set out in the </w:t>
      </w:r>
      <w:r w:rsidR="005A0208" w:rsidRPr="00591C98">
        <w:rPr>
          <w:rFonts w:ascii="Arial" w:hAnsi="Arial" w:cs="Arial"/>
          <w:szCs w:val="24"/>
        </w:rPr>
        <w:t xml:space="preserve">DSG </w:t>
      </w:r>
      <w:r w:rsidR="00BF318B" w:rsidRPr="00591C98">
        <w:rPr>
          <w:rFonts w:ascii="Arial" w:hAnsi="Arial" w:cs="Arial"/>
          <w:szCs w:val="24"/>
        </w:rPr>
        <w:t>Management</w:t>
      </w:r>
      <w:r w:rsidR="005A0208" w:rsidRPr="00591C98">
        <w:rPr>
          <w:rFonts w:ascii="Arial" w:hAnsi="Arial" w:cs="Arial"/>
          <w:szCs w:val="24"/>
        </w:rPr>
        <w:t xml:space="preserve"> Plan</w:t>
      </w:r>
      <w:r w:rsidR="004C3AC5">
        <w:rPr>
          <w:rFonts w:ascii="Arial" w:hAnsi="Arial" w:cs="Arial"/>
          <w:szCs w:val="24"/>
        </w:rPr>
        <w:t>. A full update o</w:t>
      </w:r>
      <w:r w:rsidR="0089175B">
        <w:rPr>
          <w:rFonts w:ascii="Arial" w:hAnsi="Arial" w:cs="Arial"/>
          <w:szCs w:val="24"/>
        </w:rPr>
        <w:t>f</w:t>
      </w:r>
      <w:r w:rsidR="004C3AC5">
        <w:rPr>
          <w:rFonts w:ascii="Arial" w:hAnsi="Arial" w:cs="Arial"/>
          <w:szCs w:val="24"/>
        </w:rPr>
        <w:t xml:space="preserve"> the plan is shared with Schools Forum in July each year with </w:t>
      </w:r>
      <w:r w:rsidR="00023ABF">
        <w:rPr>
          <w:rFonts w:ascii="Arial" w:hAnsi="Arial" w:cs="Arial"/>
          <w:szCs w:val="24"/>
        </w:rPr>
        <w:t xml:space="preserve">interim </w:t>
      </w:r>
      <w:r w:rsidR="00C42C5B">
        <w:rPr>
          <w:rFonts w:ascii="Arial" w:hAnsi="Arial" w:cs="Arial"/>
          <w:szCs w:val="24"/>
        </w:rPr>
        <w:t xml:space="preserve">High Needs </w:t>
      </w:r>
      <w:r w:rsidR="00023ABF">
        <w:rPr>
          <w:rFonts w:ascii="Arial" w:hAnsi="Arial" w:cs="Arial"/>
          <w:szCs w:val="24"/>
        </w:rPr>
        <w:t xml:space="preserve">updates shared </w:t>
      </w:r>
      <w:r w:rsidR="000150FA">
        <w:rPr>
          <w:rFonts w:ascii="Arial" w:hAnsi="Arial" w:cs="Arial"/>
          <w:szCs w:val="24"/>
        </w:rPr>
        <w:t xml:space="preserve">periodically </w:t>
      </w:r>
      <w:r w:rsidR="00023ABF">
        <w:rPr>
          <w:rFonts w:ascii="Arial" w:hAnsi="Arial" w:cs="Arial"/>
          <w:szCs w:val="24"/>
        </w:rPr>
        <w:t xml:space="preserve">throughout the year </w:t>
      </w:r>
      <w:r w:rsidR="001B4BE5">
        <w:rPr>
          <w:rFonts w:ascii="Arial" w:hAnsi="Arial" w:cs="Arial"/>
          <w:szCs w:val="24"/>
        </w:rPr>
        <w:t xml:space="preserve">to </w:t>
      </w:r>
      <w:r w:rsidR="0089175B">
        <w:rPr>
          <w:rFonts w:ascii="Arial" w:hAnsi="Arial" w:cs="Arial"/>
          <w:szCs w:val="24"/>
        </w:rPr>
        <w:t xml:space="preserve">inform members of </w:t>
      </w:r>
      <w:r w:rsidR="00867D8D">
        <w:rPr>
          <w:rFonts w:ascii="Arial" w:hAnsi="Arial" w:cs="Arial"/>
          <w:szCs w:val="24"/>
        </w:rPr>
        <w:t xml:space="preserve">progress or </w:t>
      </w:r>
      <w:r w:rsidR="00962560">
        <w:rPr>
          <w:rFonts w:ascii="Arial" w:hAnsi="Arial" w:cs="Arial"/>
          <w:szCs w:val="24"/>
        </w:rPr>
        <w:t xml:space="preserve">discuss </w:t>
      </w:r>
      <w:r w:rsidR="0089175B">
        <w:rPr>
          <w:rFonts w:ascii="Arial" w:hAnsi="Arial" w:cs="Arial"/>
          <w:szCs w:val="24"/>
        </w:rPr>
        <w:t>new proposed strategies</w:t>
      </w:r>
      <w:r w:rsidR="008D63C8">
        <w:rPr>
          <w:rFonts w:ascii="Arial" w:hAnsi="Arial" w:cs="Arial"/>
          <w:szCs w:val="24"/>
        </w:rPr>
        <w:t>.</w:t>
      </w:r>
    </w:p>
    <w:p w14:paraId="782ABA6F" w14:textId="46742A90" w:rsidR="009B594E" w:rsidRPr="00591C98" w:rsidRDefault="009B594E" w:rsidP="009B594E">
      <w:pPr>
        <w:pStyle w:val="Heading1"/>
        <w:keepNext w:val="0"/>
        <w:tabs>
          <w:tab w:val="num" w:pos="432"/>
        </w:tabs>
        <w:spacing w:before="240"/>
        <w:ind w:left="431" w:hanging="431"/>
        <w:jc w:val="left"/>
        <w:rPr>
          <w:rFonts w:ascii="Arial" w:hAnsi="Arial" w:cs="Arial"/>
          <w:szCs w:val="24"/>
        </w:rPr>
      </w:pPr>
      <w:r w:rsidRPr="00591C98">
        <w:rPr>
          <w:rFonts w:ascii="Arial" w:hAnsi="Arial" w:cs="Arial"/>
          <w:szCs w:val="24"/>
        </w:rPr>
        <w:t>20</w:t>
      </w:r>
      <w:r w:rsidR="005A0208" w:rsidRPr="00591C98">
        <w:rPr>
          <w:rFonts w:ascii="Arial" w:hAnsi="Arial" w:cs="Arial"/>
          <w:szCs w:val="24"/>
        </w:rPr>
        <w:t>2</w:t>
      </w:r>
      <w:r w:rsidR="00591C98" w:rsidRPr="00591C98">
        <w:rPr>
          <w:rFonts w:ascii="Arial" w:hAnsi="Arial" w:cs="Arial"/>
          <w:szCs w:val="24"/>
        </w:rPr>
        <w:t>2</w:t>
      </w:r>
      <w:r w:rsidR="005A0208" w:rsidRPr="00591C98">
        <w:rPr>
          <w:rFonts w:ascii="Arial" w:hAnsi="Arial" w:cs="Arial"/>
          <w:szCs w:val="24"/>
        </w:rPr>
        <w:t>/2</w:t>
      </w:r>
      <w:r w:rsidR="00591C98" w:rsidRPr="00591C98">
        <w:rPr>
          <w:rFonts w:ascii="Arial" w:hAnsi="Arial" w:cs="Arial"/>
          <w:szCs w:val="24"/>
        </w:rPr>
        <w:t>3</w:t>
      </w:r>
      <w:r w:rsidRPr="00591C98">
        <w:rPr>
          <w:rFonts w:ascii="Arial" w:hAnsi="Arial" w:cs="Arial"/>
          <w:szCs w:val="24"/>
        </w:rPr>
        <w:t xml:space="preserve"> </w:t>
      </w:r>
      <w:r w:rsidR="009C67BB" w:rsidRPr="00591C98">
        <w:rPr>
          <w:rFonts w:ascii="Arial" w:hAnsi="Arial" w:cs="Arial"/>
          <w:szCs w:val="24"/>
        </w:rPr>
        <w:t>b</w:t>
      </w:r>
      <w:r w:rsidRPr="00591C98">
        <w:rPr>
          <w:rFonts w:ascii="Arial" w:hAnsi="Arial" w:cs="Arial"/>
          <w:szCs w:val="24"/>
        </w:rPr>
        <w:t xml:space="preserve">udget </w:t>
      </w:r>
      <w:r w:rsidR="009C67BB" w:rsidRPr="00591C98">
        <w:rPr>
          <w:rFonts w:ascii="Arial" w:hAnsi="Arial" w:cs="Arial"/>
          <w:szCs w:val="24"/>
        </w:rPr>
        <w:t>v</w:t>
      </w:r>
      <w:r w:rsidRPr="00591C98">
        <w:rPr>
          <w:rFonts w:ascii="Arial" w:hAnsi="Arial" w:cs="Arial"/>
          <w:szCs w:val="24"/>
        </w:rPr>
        <w:t>ariances</w:t>
      </w:r>
    </w:p>
    <w:p w14:paraId="1A3F2757" w14:textId="4BBA1E2A" w:rsidR="00D54D77" w:rsidRPr="00591C98" w:rsidRDefault="009B594E" w:rsidP="009B594E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591C98">
        <w:rPr>
          <w:rFonts w:ascii="Arial" w:hAnsi="Arial" w:cs="Arial"/>
          <w:szCs w:val="24"/>
        </w:rPr>
        <w:t>The most significant budget variances ar</w:t>
      </w:r>
      <w:r w:rsidR="008C475F" w:rsidRPr="00591C98">
        <w:rPr>
          <w:rFonts w:ascii="Arial" w:hAnsi="Arial" w:cs="Arial"/>
          <w:szCs w:val="24"/>
        </w:rPr>
        <w:t>e discussed below</w:t>
      </w:r>
      <w:r w:rsidRPr="00591C98">
        <w:rPr>
          <w:rFonts w:ascii="Arial" w:hAnsi="Arial" w:cs="Arial"/>
          <w:szCs w:val="24"/>
        </w:rPr>
        <w:t xml:space="preserve">. </w:t>
      </w:r>
      <w:r w:rsidR="000C2AAF" w:rsidRPr="00591C98">
        <w:rPr>
          <w:rFonts w:ascii="Arial" w:hAnsi="Arial" w:cs="Arial"/>
          <w:szCs w:val="24"/>
        </w:rPr>
        <w:t xml:space="preserve">A detailed </w:t>
      </w:r>
      <w:r w:rsidR="002D34C0" w:rsidRPr="00591C98">
        <w:rPr>
          <w:rFonts w:ascii="Arial" w:hAnsi="Arial" w:cs="Arial"/>
          <w:szCs w:val="24"/>
        </w:rPr>
        <w:t>breakdown of the 20</w:t>
      </w:r>
      <w:r w:rsidR="005A0208" w:rsidRPr="00591C98">
        <w:rPr>
          <w:rFonts w:ascii="Arial" w:hAnsi="Arial" w:cs="Arial"/>
          <w:szCs w:val="24"/>
        </w:rPr>
        <w:t>2</w:t>
      </w:r>
      <w:r w:rsidR="00591C98" w:rsidRPr="00591C98">
        <w:rPr>
          <w:rFonts w:ascii="Arial" w:hAnsi="Arial" w:cs="Arial"/>
          <w:szCs w:val="24"/>
        </w:rPr>
        <w:t>2</w:t>
      </w:r>
      <w:r w:rsidR="002D34C0" w:rsidRPr="00591C98">
        <w:rPr>
          <w:rFonts w:ascii="Arial" w:hAnsi="Arial" w:cs="Arial"/>
          <w:szCs w:val="24"/>
        </w:rPr>
        <w:t>/</w:t>
      </w:r>
      <w:r w:rsidR="00D54D77" w:rsidRPr="00591C98">
        <w:rPr>
          <w:rFonts w:ascii="Arial" w:hAnsi="Arial" w:cs="Arial"/>
          <w:szCs w:val="24"/>
        </w:rPr>
        <w:t>2</w:t>
      </w:r>
      <w:r w:rsidR="00591C98" w:rsidRPr="00591C98">
        <w:rPr>
          <w:rFonts w:ascii="Arial" w:hAnsi="Arial" w:cs="Arial"/>
          <w:szCs w:val="24"/>
        </w:rPr>
        <w:t>3</w:t>
      </w:r>
      <w:r w:rsidR="0072135B" w:rsidRPr="00591C98">
        <w:rPr>
          <w:rFonts w:ascii="Arial" w:hAnsi="Arial" w:cs="Arial"/>
          <w:szCs w:val="24"/>
        </w:rPr>
        <w:t xml:space="preserve"> figures is provided in </w:t>
      </w:r>
      <w:r w:rsidR="003E44C9" w:rsidRPr="00591C98">
        <w:rPr>
          <w:rFonts w:ascii="Arial" w:hAnsi="Arial" w:cs="Arial"/>
          <w:szCs w:val="24"/>
        </w:rPr>
        <w:t>A</w:t>
      </w:r>
      <w:r w:rsidR="0072135B" w:rsidRPr="00591C98">
        <w:rPr>
          <w:rFonts w:ascii="Arial" w:hAnsi="Arial" w:cs="Arial"/>
          <w:szCs w:val="24"/>
        </w:rPr>
        <w:t>ppendix 1.</w:t>
      </w:r>
    </w:p>
    <w:p w14:paraId="07D6821F" w14:textId="6326D5B0" w:rsidR="00092A85" w:rsidRPr="004F395E" w:rsidRDefault="037ACEEC" w:rsidP="0A36A4E5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</w:rPr>
      </w:pPr>
      <w:r w:rsidRPr="0A36A4E5">
        <w:rPr>
          <w:rFonts w:ascii="Arial" w:hAnsi="Arial" w:cs="Arial"/>
        </w:rPr>
        <w:t>The final position is £</w:t>
      </w:r>
      <w:r w:rsidR="11B025D2" w:rsidRPr="0A36A4E5">
        <w:rPr>
          <w:rFonts w:ascii="Arial" w:hAnsi="Arial" w:cs="Arial"/>
        </w:rPr>
        <w:t>7</w:t>
      </w:r>
      <w:r w:rsidRPr="0A36A4E5">
        <w:rPr>
          <w:rFonts w:ascii="Arial" w:hAnsi="Arial" w:cs="Arial"/>
        </w:rPr>
        <w:t>.2m lower th</w:t>
      </w:r>
      <w:r w:rsidR="07D65AE4" w:rsidRPr="0A36A4E5">
        <w:rPr>
          <w:rFonts w:ascii="Arial" w:hAnsi="Arial" w:cs="Arial"/>
        </w:rPr>
        <w:t>an th</w:t>
      </w:r>
      <w:r w:rsidRPr="0A36A4E5">
        <w:rPr>
          <w:rFonts w:ascii="Arial" w:hAnsi="Arial" w:cs="Arial"/>
        </w:rPr>
        <w:t>e forecast position reported to Schools Forum in January</w:t>
      </w:r>
      <w:r w:rsidRPr="0A36A4E5">
        <w:rPr>
          <w:rFonts w:ascii="Arial" w:hAnsi="Arial" w:cs="Arial"/>
          <w:color w:val="FF0000"/>
        </w:rPr>
        <w:t>.</w:t>
      </w:r>
      <w:r w:rsidR="4A0CB394" w:rsidRPr="0A36A4E5">
        <w:rPr>
          <w:rFonts w:ascii="Arial" w:hAnsi="Arial" w:cs="Arial"/>
          <w:color w:val="FF0000"/>
        </w:rPr>
        <w:t xml:space="preserve"> </w:t>
      </w:r>
      <w:r w:rsidR="4A0CB394" w:rsidRPr="0A36A4E5">
        <w:rPr>
          <w:rFonts w:ascii="Arial" w:hAnsi="Arial" w:cs="Arial"/>
        </w:rPr>
        <w:t xml:space="preserve">The final High Needs position has </w:t>
      </w:r>
      <w:r w:rsidR="0F136679" w:rsidRPr="0A36A4E5">
        <w:rPr>
          <w:rFonts w:ascii="Arial" w:hAnsi="Arial" w:cs="Arial"/>
        </w:rPr>
        <w:t>de</w:t>
      </w:r>
      <w:r w:rsidR="4A0CB394" w:rsidRPr="0A36A4E5">
        <w:rPr>
          <w:rFonts w:ascii="Arial" w:hAnsi="Arial" w:cs="Arial"/>
        </w:rPr>
        <w:t>creased</w:t>
      </w:r>
      <w:r w:rsidR="4A0CB394" w:rsidRPr="0A36A4E5">
        <w:rPr>
          <w:rFonts w:ascii="Arial" w:hAnsi="Arial" w:cs="Arial"/>
          <w:color w:val="FF0000"/>
        </w:rPr>
        <w:t xml:space="preserve"> </w:t>
      </w:r>
      <w:r w:rsidR="4A0CB394" w:rsidRPr="0A36A4E5">
        <w:rPr>
          <w:rFonts w:ascii="Arial" w:hAnsi="Arial" w:cs="Arial"/>
        </w:rPr>
        <w:t xml:space="preserve">due to a </w:t>
      </w:r>
      <w:r w:rsidR="5FF5F714" w:rsidRPr="0A36A4E5">
        <w:rPr>
          <w:rFonts w:ascii="Arial" w:hAnsi="Arial" w:cs="Arial"/>
        </w:rPr>
        <w:t xml:space="preserve">greater number of provisions being ceased or </w:t>
      </w:r>
      <w:r w:rsidR="1E436ECC" w:rsidRPr="0A36A4E5">
        <w:rPr>
          <w:rFonts w:ascii="Arial" w:hAnsi="Arial" w:cs="Arial"/>
        </w:rPr>
        <w:t>stepped down than forecast</w:t>
      </w:r>
      <w:r w:rsidR="370730DC" w:rsidRPr="0A36A4E5">
        <w:rPr>
          <w:rFonts w:ascii="Arial" w:hAnsi="Arial" w:cs="Arial"/>
        </w:rPr>
        <w:t>.  Th</w:t>
      </w:r>
      <w:r w:rsidR="18B2B24F" w:rsidRPr="0A36A4E5">
        <w:rPr>
          <w:rFonts w:ascii="Arial" w:hAnsi="Arial" w:cs="Arial"/>
        </w:rPr>
        <w:t xml:space="preserve">e </w:t>
      </w:r>
      <w:r w:rsidR="0F136679" w:rsidRPr="0A36A4E5">
        <w:rPr>
          <w:rFonts w:ascii="Arial" w:hAnsi="Arial" w:cs="Arial"/>
        </w:rPr>
        <w:t>underspend on</w:t>
      </w:r>
      <w:r w:rsidR="18B2B24F" w:rsidRPr="0A36A4E5">
        <w:rPr>
          <w:rFonts w:ascii="Arial" w:hAnsi="Arial" w:cs="Arial"/>
        </w:rPr>
        <w:t xml:space="preserve"> Schools Block </w:t>
      </w:r>
      <w:r w:rsidR="0F136679" w:rsidRPr="0A36A4E5">
        <w:rPr>
          <w:rFonts w:ascii="Arial" w:hAnsi="Arial" w:cs="Arial"/>
        </w:rPr>
        <w:t>is</w:t>
      </w:r>
      <w:r w:rsidR="18B2B24F" w:rsidRPr="0A36A4E5">
        <w:rPr>
          <w:rFonts w:ascii="Arial" w:hAnsi="Arial" w:cs="Arial"/>
        </w:rPr>
        <w:t xml:space="preserve"> greater than forecast</w:t>
      </w:r>
      <w:r w:rsidR="40A5AFF0" w:rsidRPr="0A36A4E5">
        <w:rPr>
          <w:rFonts w:ascii="Arial" w:hAnsi="Arial" w:cs="Arial"/>
        </w:rPr>
        <w:t xml:space="preserve"> due to </w:t>
      </w:r>
      <w:r w:rsidR="2EBD4C3F" w:rsidRPr="0A36A4E5">
        <w:rPr>
          <w:rFonts w:ascii="Arial" w:hAnsi="Arial" w:cs="Arial"/>
        </w:rPr>
        <w:t>growth fund</w:t>
      </w:r>
      <w:r w:rsidR="0F136679" w:rsidRPr="0A36A4E5">
        <w:rPr>
          <w:rFonts w:ascii="Arial" w:hAnsi="Arial" w:cs="Arial"/>
        </w:rPr>
        <w:t xml:space="preserve">, </w:t>
      </w:r>
      <w:r w:rsidR="25A7E705" w:rsidRPr="0A36A4E5">
        <w:rPr>
          <w:rFonts w:ascii="Arial" w:hAnsi="Arial" w:cs="Arial"/>
        </w:rPr>
        <w:t>h</w:t>
      </w:r>
      <w:r w:rsidR="0F136679" w:rsidRPr="0A36A4E5">
        <w:rPr>
          <w:rFonts w:ascii="Arial" w:hAnsi="Arial" w:cs="Arial"/>
        </w:rPr>
        <w:t>owever the underspend on the Early Years Block</w:t>
      </w:r>
      <w:r w:rsidR="25A7E705" w:rsidRPr="0A36A4E5">
        <w:rPr>
          <w:rFonts w:ascii="Arial" w:hAnsi="Arial" w:cs="Arial"/>
        </w:rPr>
        <w:t xml:space="preserve"> is less </w:t>
      </w:r>
      <w:r w:rsidR="47EC9277" w:rsidRPr="49CCB774">
        <w:rPr>
          <w:rFonts w:ascii="Arial" w:hAnsi="Arial" w:cs="Arial"/>
        </w:rPr>
        <w:t>tha</w:t>
      </w:r>
      <w:r w:rsidR="4B23CD0A" w:rsidRPr="49CCB774">
        <w:rPr>
          <w:rFonts w:ascii="Arial" w:hAnsi="Arial" w:cs="Arial"/>
        </w:rPr>
        <w:t>n</w:t>
      </w:r>
      <w:r w:rsidR="25A7E705" w:rsidRPr="0A36A4E5">
        <w:rPr>
          <w:rFonts w:ascii="Arial" w:hAnsi="Arial" w:cs="Arial"/>
        </w:rPr>
        <w:t xml:space="preserve"> forecast</w:t>
      </w:r>
      <w:r w:rsidR="18B2B24F" w:rsidRPr="0A36A4E5">
        <w:rPr>
          <w:rFonts w:ascii="Arial" w:hAnsi="Arial" w:cs="Arial"/>
        </w:rPr>
        <w:t xml:space="preserve">. </w:t>
      </w:r>
    </w:p>
    <w:p w14:paraId="03D5078E" w14:textId="77777777" w:rsidR="00882C94" w:rsidRPr="00BF5B66" w:rsidRDefault="005A0208" w:rsidP="00882C94">
      <w:pPr>
        <w:pStyle w:val="Heading2"/>
        <w:keepNext w:val="0"/>
        <w:numPr>
          <w:ilvl w:val="0"/>
          <w:numId w:val="0"/>
        </w:numPr>
        <w:ind w:left="426"/>
        <w:jc w:val="left"/>
        <w:rPr>
          <w:rFonts w:ascii="Arial" w:hAnsi="Arial" w:cs="Arial"/>
          <w:b/>
          <w:szCs w:val="24"/>
        </w:rPr>
      </w:pPr>
      <w:r w:rsidRPr="00BF5B66">
        <w:rPr>
          <w:rFonts w:ascii="Arial" w:hAnsi="Arial" w:cs="Arial"/>
          <w:b/>
          <w:szCs w:val="24"/>
        </w:rPr>
        <w:t>Early Years Block</w:t>
      </w:r>
    </w:p>
    <w:p w14:paraId="6124A616" w14:textId="05731342" w:rsidR="00764377" w:rsidRPr="00516B65" w:rsidRDefault="0057648A" w:rsidP="001C183D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</w:rPr>
      </w:pPr>
      <w:r w:rsidRPr="00516B65">
        <w:rPr>
          <w:rFonts w:ascii="Arial" w:hAnsi="Arial" w:cs="Arial"/>
        </w:rPr>
        <w:t xml:space="preserve">Based on the </w:t>
      </w:r>
      <w:r w:rsidR="00C47B97" w:rsidRPr="00516B65">
        <w:rPr>
          <w:rFonts w:ascii="Arial" w:hAnsi="Arial" w:cs="Arial"/>
        </w:rPr>
        <w:t>January 2023</w:t>
      </w:r>
      <w:r w:rsidR="00431B84" w:rsidRPr="00516B65">
        <w:rPr>
          <w:rFonts w:ascii="Arial" w:hAnsi="Arial" w:cs="Arial"/>
        </w:rPr>
        <w:t xml:space="preserve"> census submitted to the DfE, a</w:t>
      </w:r>
      <w:r w:rsidR="00AA66E4">
        <w:rPr>
          <w:rFonts w:ascii="Arial" w:hAnsi="Arial" w:cs="Arial"/>
        </w:rPr>
        <w:t>n overall</w:t>
      </w:r>
      <w:r w:rsidR="00431B84" w:rsidRPr="00516B65">
        <w:rPr>
          <w:rFonts w:ascii="Arial" w:hAnsi="Arial" w:cs="Arial"/>
        </w:rPr>
        <w:t xml:space="preserve"> reduction of </w:t>
      </w:r>
      <w:r w:rsidR="006717B5">
        <w:rPr>
          <w:rFonts w:ascii="Arial" w:hAnsi="Arial" w:cs="Arial"/>
        </w:rPr>
        <w:t xml:space="preserve">£787,000 is expected </w:t>
      </w:r>
      <w:r w:rsidR="0067229F">
        <w:rPr>
          <w:rFonts w:ascii="Arial" w:hAnsi="Arial" w:cs="Arial"/>
        </w:rPr>
        <w:t>to the 2022/23 DSG allocation.</w:t>
      </w:r>
      <w:r w:rsidR="00392628">
        <w:rPr>
          <w:rFonts w:ascii="Arial" w:hAnsi="Arial" w:cs="Arial"/>
        </w:rPr>
        <w:t xml:space="preserve"> </w:t>
      </w:r>
      <w:r w:rsidR="00EF2530">
        <w:rPr>
          <w:rFonts w:ascii="Arial" w:hAnsi="Arial" w:cs="Arial"/>
        </w:rPr>
        <w:t>Th</w:t>
      </w:r>
      <w:r w:rsidR="008F37D9">
        <w:rPr>
          <w:rFonts w:ascii="Arial" w:hAnsi="Arial" w:cs="Arial"/>
        </w:rPr>
        <w:t>e 2022/23 budget has been adjusted to reflect th</w:t>
      </w:r>
      <w:r w:rsidR="00D21458">
        <w:rPr>
          <w:rFonts w:ascii="Arial" w:hAnsi="Arial" w:cs="Arial"/>
        </w:rPr>
        <w:t>e</w:t>
      </w:r>
      <w:r w:rsidR="008F37D9">
        <w:rPr>
          <w:rFonts w:ascii="Arial" w:hAnsi="Arial" w:cs="Arial"/>
        </w:rPr>
        <w:t xml:space="preserve"> reduction</w:t>
      </w:r>
      <w:r w:rsidR="003B3630">
        <w:rPr>
          <w:rFonts w:ascii="Arial" w:hAnsi="Arial" w:cs="Arial"/>
        </w:rPr>
        <w:t>,</w:t>
      </w:r>
      <w:r w:rsidR="008F37D9">
        <w:rPr>
          <w:rFonts w:ascii="Arial" w:hAnsi="Arial" w:cs="Arial"/>
        </w:rPr>
        <w:t xml:space="preserve"> however this will</w:t>
      </w:r>
      <w:r w:rsidR="00B464C6">
        <w:rPr>
          <w:rFonts w:ascii="Arial" w:hAnsi="Arial" w:cs="Arial"/>
        </w:rPr>
        <w:t xml:space="preserve"> not be confirmed by the DfE until summer 2023</w:t>
      </w:r>
      <w:r w:rsidR="00EF2530">
        <w:rPr>
          <w:rFonts w:ascii="Arial" w:hAnsi="Arial" w:cs="Arial"/>
        </w:rPr>
        <w:t>.</w:t>
      </w:r>
    </w:p>
    <w:p w14:paraId="52B65B82" w14:textId="017C57E9" w:rsidR="00513479" w:rsidRPr="006C0089" w:rsidRDefault="00C16A58" w:rsidP="00634C26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</w:rPr>
      </w:pPr>
      <w:r w:rsidRPr="006C0089">
        <w:rPr>
          <w:rFonts w:ascii="Arial" w:hAnsi="Arial" w:cs="Arial"/>
        </w:rPr>
        <w:t xml:space="preserve">The </w:t>
      </w:r>
      <w:r w:rsidR="00085306">
        <w:rPr>
          <w:rFonts w:ascii="Arial" w:hAnsi="Arial" w:cs="Arial"/>
        </w:rPr>
        <w:t xml:space="preserve">overall </w:t>
      </w:r>
      <w:r w:rsidRPr="006C0089">
        <w:rPr>
          <w:rFonts w:ascii="Arial" w:hAnsi="Arial" w:cs="Arial"/>
        </w:rPr>
        <w:t>underspend</w:t>
      </w:r>
      <w:r w:rsidR="00085306">
        <w:rPr>
          <w:rFonts w:ascii="Arial" w:hAnsi="Arial" w:cs="Arial"/>
        </w:rPr>
        <w:t xml:space="preserve"> of £1.7m</w:t>
      </w:r>
      <w:r w:rsidRPr="006C0089">
        <w:rPr>
          <w:rFonts w:ascii="Arial" w:hAnsi="Arial" w:cs="Arial"/>
        </w:rPr>
        <w:t xml:space="preserve"> mostly relates to </w:t>
      </w:r>
      <w:r w:rsidR="006C0089" w:rsidRPr="006C0089">
        <w:rPr>
          <w:rFonts w:ascii="Arial" w:hAnsi="Arial" w:cs="Arial"/>
        </w:rPr>
        <w:t>the three and four year</w:t>
      </w:r>
      <w:r w:rsidR="005E50D5">
        <w:rPr>
          <w:rFonts w:ascii="Arial" w:hAnsi="Arial" w:cs="Arial"/>
        </w:rPr>
        <w:t xml:space="preserve"> old universal and extended </w:t>
      </w:r>
      <w:r w:rsidR="006C0089" w:rsidRPr="006C0089">
        <w:rPr>
          <w:rFonts w:ascii="Arial" w:hAnsi="Arial" w:cs="Arial"/>
        </w:rPr>
        <w:t>free entitlement</w:t>
      </w:r>
      <w:r w:rsidR="00C24A36">
        <w:rPr>
          <w:rFonts w:ascii="Arial" w:hAnsi="Arial" w:cs="Arial"/>
        </w:rPr>
        <w:t>s</w:t>
      </w:r>
      <w:r w:rsidR="00BB6042">
        <w:rPr>
          <w:rFonts w:ascii="Arial" w:hAnsi="Arial" w:cs="Arial"/>
        </w:rPr>
        <w:t xml:space="preserve">. </w:t>
      </w:r>
      <w:r w:rsidR="00044E68">
        <w:rPr>
          <w:rFonts w:ascii="Arial" w:hAnsi="Arial" w:cs="Arial"/>
        </w:rPr>
        <w:t xml:space="preserve">A contingency </w:t>
      </w:r>
      <w:r w:rsidR="00A81EDF">
        <w:rPr>
          <w:rFonts w:ascii="Arial" w:hAnsi="Arial" w:cs="Arial"/>
        </w:rPr>
        <w:t>of £1.</w:t>
      </w:r>
      <w:r w:rsidR="006657AE">
        <w:rPr>
          <w:rFonts w:ascii="Arial" w:hAnsi="Arial" w:cs="Arial"/>
        </w:rPr>
        <w:t>5</w:t>
      </w:r>
      <w:r w:rsidR="00A81EDF">
        <w:rPr>
          <w:rFonts w:ascii="Arial" w:hAnsi="Arial" w:cs="Arial"/>
        </w:rPr>
        <w:t xml:space="preserve">m </w:t>
      </w:r>
      <w:r w:rsidR="00A85CCB">
        <w:rPr>
          <w:rFonts w:ascii="Arial" w:hAnsi="Arial" w:cs="Arial"/>
          <w:szCs w:val="24"/>
        </w:rPr>
        <w:t>w</w:t>
      </w:r>
      <w:r w:rsidR="005E50D5">
        <w:rPr>
          <w:rFonts w:ascii="Arial" w:hAnsi="Arial" w:cs="Arial"/>
          <w:szCs w:val="24"/>
        </w:rPr>
        <w:t xml:space="preserve">as </w:t>
      </w:r>
      <w:r w:rsidR="00A85CCB">
        <w:rPr>
          <w:rFonts w:ascii="Arial" w:hAnsi="Arial" w:cs="Arial"/>
          <w:szCs w:val="24"/>
        </w:rPr>
        <w:t>set aside to help manage risks around forecast take-up, particularly in funding children that may not have been included in provider census’.</w:t>
      </w:r>
      <w:r w:rsidR="005E50D5">
        <w:rPr>
          <w:rFonts w:ascii="Arial" w:hAnsi="Arial" w:cs="Arial"/>
          <w:szCs w:val="24"/>
        </w:rPr>
        <w:t xml:space="preserve"> </w:t>
      </w:r>
      <w:r w:rsidR="005343B4">
        <w:rPr>
          <w:rFonts w:ascii="Arial" w:hAnsi="Arial" w:cs="Arial"/>
          <w:szCs w:val="24"/>
        </w:rPr>
        <w:t>For 2022/23</w:t>
      </w:r>
      <w:r w:rsidR="001F04DE">
        <w:rPr>
          <w:rFonts w:ascii="Arial" w:hAnsi="Arial" w:cs="Arial"/>
          <w:szCs w:val="24"/>
        </w:rPr>
        <w:t>, £1.3m remained unspent from this contingency</w:t>
      </w:r>
      <w:r w:rsidR="006C316C">
        <w:rPr>
          <w:rFonts w:ascii="Arial" w:hAnsi="Arial" w:cs="Arial"/>
          <w:szCs w:val="24"/>
        </w:rPr>
        <w:t xml:space="preserve"> which can be attributed to a reducing three and four year old population</w:t>
      </w:r>
      <w:r w:rsidR="000272E2">
        <w:rPr>
          <w:rFonts w:ascii="Arial" w:hAnsi="Arial" w:cs="Arial"/>
          <w:szCs w:val="24"/>
        </w:rPr>
        <w:t xml:space="preserve"> as forecast by the </w:t>
      </w:r>
      <w:r w:rsidR="00752727">
        <w:rPr>
          <w:rFonts w:ascii="Arial" w:hAnsi="Arial" w:cs="Arial"/>
          <w:szCs w:val="24"/>
        </w:rPr>
        <w:t>small area population forecasts (SAPF).</w:t>
      </w:r>
    </w:p>
    <w:p w14:paraId="673D3C55" w14:textId="56BB997B" w:rsidR="00F16C1A" w:rsidRPr="007D4DDB" w:rsidRDefault="009274D4" w:rsidP="007D4DDB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</w:rPr>
      </w:pPr>
      <w:r w:rsidRPr="007D4DDB">
        <w:rPr>
          <w:rFonts w:ascii="Arial" w:hAnsi="Arial" w:cs="Arial"/>
        </w:rPr>
        <w:t xml:space="preserve">The three and four year old SEN inclusion fund </w:t>
      </w:r>
      <w:r w:rsidR="00907F20" w:rsidRPr="007D4DDB">
        <w:rPr>
          <w:rFonts w:ascii="Arial" w:hAnsi="Arial" w:cs="Arial"/>
        </w:rPr>
        <w:t xml:space="preserve">resulted in </w:t>
      </w:r>
      <w:r w:rsidR="009338FB" w:rsidRPr="007D4DDB">
        <w:rPr>
          <w:rFonts w:ascii="Arial" w:hAnsi="Arial" w:cs="Arial"/>
        </w:rPr>
        <w:t xml:space="preserve">an overspend of </w:t>
      </w:r>
      <w:r w:rsidR="00D35C54" w:rsidRPr="007D4DDB">
        <w:rPr>
          <w:rFonts w:ascii="Arial" w:hAnsi="Arial" w:cs="Arial"/>
        </w:rPr>
        <w:t>£145,000</w:t>
      </w:r>
      <w:r w:rsidR="009A5578" w:rsidRPr="007D4DDB">
        <w:rPr>
          <w:rFonts w:ascii="Arial" w:hAnsi="Arial" w:cs="Arial"/>
        </w:rPr>
        <w:t xml:space="preserve"> for 2022/23</w:t>
      </w:r>
      <w:r w:rsidR="00907F20" w:rsidRPr="007D4DDB">
        <w:rPr>
          <w:rFonts w:ascii="Arial" w:hAnsi="Arial" w:cs="Arial"/>
        </w:rPr>
        <w:t xml:space="preserve">. </w:t>
      </w:r>
      <w:r w:rsidR="0000717F" w:rsidRPr="007D4DDB">
        <w:rPr>
          <w:rFonts w:ascii="Arial" w:hAnsi="Arial" w:cs="Arial"/>
        </w:rPr>
        <w:t>There has been significant growth in eligible children claiming</w:t>
      </w:r>
      <w:r w:rsidR="00982833" w:rsidRPr="007D4DDB">
        <w:rPr>
          <w:rFonts w:ascii="Arial" w:hAnsi="Arial" w:cs="Arial"/>
        </w:rPr>
        <w:t xml:space="preserve"> since 202</w:t>
      </w:r>
      <w:r w:rsidR="00C41667" w:rsidRPr="007D4DDB">
        <w:rPr>
          <w:rFonts w:ascii="Arial" w:hAnsi="Arial" w:cs="Arial"/>
        </w:rPr>
        <w:t>0</w:t>
      </w:r>
      <w:r w:rsidR="00982833" w:rsidRPr="007D4DDB">
        <w:rPr>
          <w:rFonts w:ascii="Arial" w:hAnsi="Arial" w:cs="Arial"/>
        </w:rPr>
        <w:t>/2</w:t>
      </w:r>
      <w:r w:rsidR="00C41667" w:rsidRPr="007D4DDB">
        <w:rPr>
          <w:rFonts w:ascii="Arial" w:hAnsi="Arial" w:cs="Arial"/>
        </w:rPr>
        <w:t>1</w:t>
      </w:r>
      <w:r w:rsidR="003B3630">
        <w:rPr>
          <w:rFonts w:ascii="Arial" w:hAnsi="Arial" w:cs="Arial"/>
        </w:rPr>
        <w:t>,</w:t>
      </w:r>
      <w:r w:rsidR="00982833" w:rsidRPr="007D4DDB">
        <w:rPr>
          <w:rFonts w:ascii="Arial" w:hAnsi="Arial" w:cs="Arial"/>
        </w:rPr>
        <w:t xml:space="preserve"> therefore this overspend was expected. </w:t>
      </w:r>
      <w:r w:rsidR="004C4D95" w:rsidRPr="007D4DDB">
        <w:rPr>
          <w:rFonts w:ascii="Arial" w:hAnsi="Arial" w:cs="Arial"/>
        </w:rPr>
        <w:t>Claims increased by 48% (</w:t>
      </w:r>
      <w:r w:rsidR="00A67BC8" w:rsidRPr="007D4DDB">
        <w:rPr>
          <w:rFonts w:ascii="Arial" w:hAnsi="Arial" w:cs="Arial"/>
        </w:rPr>
        <w:t>55,000 hours) in 2021/22 from 2020/21</w:t>
      </w:r>
      <w:r w:rsidR="004553A0" w:rsidRPr="007D4DDB">
        <w:rPr>
          <w:rFonts w:ascii="Arial" w:hAnsi="Arial" w:cs="Arial"/>
        </w:rPr>
        <w:t xml:space="preserve">, and a </w:t>
      </w:r>
      <w:r w:rsidR="004553A0" w:rsidRPr="007D4DDB">
        <w:rPr>
          <w:rFonts w:ascii="Arial" w:hAnsi="Arial" w:cs="Arial"/>
        </w:rPr>
        <w:lastRenderedPageBreak/>
        <w:t xml:space="preserve">further </w:t>
      </w:r>
      <w:r w:rsidR="00F01122" w:rsidRPr="007D4DDB">
        <w:rPr>
          <w:rFonts w:ascii="Arial" w:hAnsi="Arial" w:cs="Arial"/>
        </w:rPr>
        <w:t>29% (</w:t>
      </w:r>
      <w:r w:rsidR="00C41667" w:rsidRPr="007D4DDB">
        <w:rPr>
          <w:rFonts w:ascii="Arial" w:hAnsi="Arial" w:cs="Arial"/>
        </w:rPr>
        <w:t xml:space="preserve">49,000 hours) in 2022/23 from 2021/22. </w:t>
      </w:r>
      <w:r w:rsidR="007673D1" w:rsidRPr="007D4DDB">
        <w:rPr>
          <w:rFonts w:ascii="Arial" w:hAnsi="Arial" w:cs="Arial"/>
        </w:rPr>
        <w:t>The budget for 2023/24 has been increased by 21% (£</w:t>
      </w:r>
      <w:r w:rsidR="00B94936" w:rsidRPr="007D4DDB">
        <w:rPr>
          <w:rFonts w:ascii="Arial" w:hAnsi="Arial" w:cs="Arial"/>
        </w:rPr>
        <w:t xml:space="preserve">247,000) to accommodate continued </w:t>
      </w:r>
      <w:r w:rsidR="00853733" w:rsidRPr="007D4DDB">
        <w:rPr>
          <w:rFonts w:ascii="Arial" w:hAnsi="Arial" w:cs="Arial"/>
        </w:rPr>
        <w:t xml:space="preserve">forecast </w:t>
      </w:r>
      <w:r w:rsidR="00B94936" w:rsidRPr="007D4DDB">
        <w:rPr>
          <w:rFonts w:ascii="Arial" w:hAnsi="Arial" w:cs="Arial"/>
        </w:rPr>
        <w:t>growth.</w:t>
      </w:r>
    </w:p>
    <w:p w14:paraId="3FEF2DA5" w14:textId="07AFA01E" w:rsidR="00AE2AF7" w:rsidRPr="00E72D53" w:rsidRDefault="00AE2AF7" w:rsidP="007D4DDB">
      <w:pPr>
        <w:pStyle w:val="Heading2"/>
        <w:tabs>
          <w:tab w:val="clear" w:pos="576"/>
          <w:tab w:val="num" w:pos="426"/>
        </w:tabs>
        <w:ind w:left="426" w:hanging="568"/>
        <w:rPr>
          <w:rFonts w:ascii="Arial" w:hAnsi="Arial" w:cs="Arial"/>
          <w:szCs w:val="24"/>
        </w:rPr>
      </w:pPr>
      <w:r w:rsidRPr="00D44F1C">
        <w:rPr>
          <w:rFonts w:ascii="Arial" w:hAnsi="Arial" w:cs="Arial"/>
          <w:szCs w:val="24"/>
        </w:rPr>
        <w:t xml:space="preserve">The overall position on the central early years budget is an </w:t>
      </w:r>
      <w:r w:rsidR="00455775" w:rsidRPr="00D44F1C">
        <w:rPr>
          <w:rFonts w:ascii="Arial" w:hAnsi="Arial" w:cs="Arial"/>
          <w:szCs w:val="24"/>
        </w:rPr>
        <w:t>underspend</w:t>
      </w:r>
      <w:r w:rsidRPr="00D44F1C">
        <w:rPr>
          <w:rFonts w:ascii="Arial" w:hAnsi="Arial" w:cs="Arial"/>
          <w:szCs w:val="24"/>
        </w:rPr>
        <w:t xml:space="preserve"> of £</w:t>
      </w:r>
      <w:r w:rsidR="00D44F1C" w:rsidRPr="00D44F1C">
        <w:rPr>
          <w:rFonts w:ascii="Arial" w:hAnsi="Arial" w:cs="Arial"/>
          <w:szCs w:val="24"/>
        </w:rPr>
        <w:t>597</w:t>
      </w:r>
      <w:r w:rsidRPr="00D44F1C">
        <w:rPr>
          <w:rFonts w:ascii="Arial" w:hAnsi="Arial" w:cs="Arial"/>
          <w:szCs w:val="24"/>
        </w:rPr>
        <w:t>,000</w:t>
      </w:r>
      <w:r w:rsidR="008A7FC6" w:rsidRPr="00D44F1C">
        <w:rPr>
          <w:rFonts w:ascii="Arial" w:hAnsi="Arial" w:cs="Arial"/>
          <w:szCs w:val="24"/>
        </w:rPr>
        <w:t xml:space="preserve">. </w:t>
      </w:r>
      <w:r w:rsidR="005C550E">
        <w:rPr>
          <w:rFonts w:ascii="Arial" w:hAnsi="Arial" w:cs="Arial"/>
          <w:szCs w:val="24"/>
        </w:rPr>
        <w:t xml:space="preserve">The underspend is mostly a result of </w:t>
      </w:r>
      <w:r w:rsidR="006E0758">
        <w:rPr>
          <w:rFonts w:ascii="Arial" w:hAnsi="Arial" w:cs="Arial"/>
          <w:szCs w:val="24"/>
        </w:rPr>
        <w:t xml:space="preserve">a reduction </w:t>
      </w:r>
      <w:r w:rsidR="00F0620E">
        <w:rPr>
          <w:rFonts w:ascii="Arial" w:hAnsi="Arial" w:cs="Arial"/>
          <w:szCs w:val="24"/>
        </w:rPr>
        <w:t>in</w:t>
      </w:r>
      <w:r w:rsidR="006E0758">
        <w:rPr>
          <w:rFonts w:ascii="Arial" w:hAnsi="Arial" w:cs="Arial"/>
          <w:szCs w:val="24"/>
        </w:rPr>
        <w:t xml:space="preserve"> commitments against the central contingency</w:t>
      </w:r>
      <w:r w:rsidR="00E3633A">
        <w:rPr>
          <w:rFonts w:ascii="Arial" w:hAnsi="Arial" w:cs="Arial"/>
          <w:szCs w:val="24"/>
        </w:rPr>
        <w:t xml:space="preserve"> (£432,000 under</w:t>
      </w:r>
      <w:r w:rsidR="00F0620E">
        <w:rPr>
          <w:rFonts w:ascii="Arial" w:hAnsi="Arial" w:cs="Arial"/>
          <w:szCs w:val="24"/>
        </w:rPr>
        <w:t>sp</w:t>
      </w:r>
      <w:r w:rsidR="00E3633A">
        <w:rPr>
          <w:rFonts w:ascii="Arial" w:hAnsi="Arial" w:cs="Arial"/>
          <w:szCs w:val="24"/>
        </w:rPr>
        <w:t>end)</w:t>
      </w:r>
      <w:r w:rsidR="00373865">
        <w:rPr>
          <w:rFonts w:ascii="Arial" w:hAnsi="Arial" w:cs="Arial"/>
          <w:szCs w:val="24"/>
        </w:rPr>
        <w:t xml:space="preserve">. There have been a lower number of providers </w:t>
      </w:r>
      <w:r w:rsidR="00596482">
        <w:rPr>
          <w:rFonts w:ascii="Arial" w:hAnsi="Arial" w:cs="Arial"/>
          <w:szCs w:val="24"/>
        </w:rPr>
        <w:t xml:space="preserve">submitting </w:t>
      </w:r>
      <w:r w:rsidR="00373865">
        <w:rPr>
          <w:rFonts w:ascii="Arial" w:hAnsi="Arial" w:cs="Arial"/>
          <w:szCs w:val="24"/>
        </w:rPr>
        <w:t>request</w:t>
      </w:r>
      <w:r w:rsidR="00596482">
        <w:rPr>
          <w:rFonts w:ascii="Arial" w:hAnsi="Arial" w:cs="Arial"/>
          <w:szCs w:val="24"/>
        </w:rPr>
        <w:t xml:space="preserve">s for </w:t>
      </w:r>
      <w:r w:rsidR="00097583">
        <w:rPr>
          <w:rFonts w:ascii="Arial" w:hAnsi="Arial" w:cs="Arial"/>
          <w:szCs w:val="24"/>
        </w:rPr>
        <w:t>sustainability grant</w:t>
      </w:r>
      <w:r w:rsidR="00F903C2">
        <w:rPr>
          <w:rFonts w:ascii="Arial" w:hAnsi="Arial" w:cs="Arial"/>
          <w:szCs w:val="24"/>
        </w:rPr>
        <w:t>s</w:t>
      </w:r>
      <w:r w:rsidR="007D4DDB">
        <w:rPr>
          <w:rFonts w:ascii="Arial" w:hAnsi="Arial" w:cs="Arial"/>
          <w:szCs w:val="24"/>
        </w:rPr>
        <w:t xml:space="preserve"> </w:t>
      </w:r>
      <w:r w:rsidR="007D4DDB" w:rsidRPr="00E72D53">
        <w:rPr>
          <w:rFonts w:ascii="Arial" w:hAnsi="Arial" w:cs="Arial"/>
          <w:szCs w:val="24"/>
        </w:rPr>
        <w:t xml:space="preserve">than in </w:t>
      </w:r>
      <w:r w:rsidR="00284644" w:rsidRPr="00E72D53">
        <w:rPr>
          <w:rFonts w:ascii="Arial" w:hAnsi="Arial" w:cs="Arial"/>
          <w:szCs w:val="24"/>
        </w:rPr>
        <w:t>the last two</w:t>
      </w:r>
      <w:r w:rsidR="007D4DDB" w:rsidRPr="00E72D53">
        <w:rPr>
          <w:rFonts w:ascii="Arial" w:hAnsi="Arial" w:cs="Arial"/>
          <w:szCs w:val="24"/>
        </w:rPr>
        <w:t xml:space="preserve"> years.</w:t>
      </w:r>
      <w:r w:rsidR="00097583" w:rsidRPr="00E72D53">
        <w:rPr>
          <w:rFonts w:ascii="Arial" w:hAnsi="Arial" w:cs="Arial"/>
          <w:szCs w:val="24"/>
        </w:rPr>
        <w:t xml:space="preserve"> </w:t>
      </w:r>
    </w:p>
    <w:p w14:paraId="2797F166" w14:textId="23226D05" w:rsidR="00A36CAF" w:rsidRPr="00E72D53" w:rsidRDefault="00A36CAF" w:rsidP="005368F0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E72D53">
        <w:rPr>
          <w:rFonts w:ascii="Arial" w:hAnsi="Arial" w:cs="Arial"/>
          <w:szCs w:val="24"/>
        </w:rPr>
        <w:t xml:space="preserve">The underspend </w:t>
      </w:r>
      <w:r w:rsidR="00C65D62" w:rsidRPr="00E72D53">
        <w:rPr>
          <w:rFonts w:ascii="Arial" w:hAnsi="Arial" w:cs="Arial"/>
          <w:szCs w:val="24"/>
        </w:rPr>
        <w:t xml:space="preserve">on Services for Young Children </w:t>
      </w:r>
      <w:r w:rsidR="0045013B" w:rsidRPr="00E72D53">
        <w:rPr>
          <w:rFonts w:ascii="Arial" w:hAnsi="Arial" w:cs="Arial"/>
          <w:szCs w:val="24"/>
        </w:rPr>
        <w:t>Inclusion</w:t>
      </w:r>
      <w:r w:rsidR="00C65D62" w:rsidRPr="00E72D53">
        <w:rPr>
          <w:rFonts w:ascii="Arial" w:hAnsi="Arial" w:cs="Arial"/>
          <w:szCs w:val="24"/>
        </w:rPr>
        <w:t xml:space="preserve"> </w:t>
      </w:r>
      <w:r w:rsidR="00C61955" w:rsidRPr="00E72D53">
        <w:rPr>
          <w:rFonts w:ascii="Arial" w:hAnsi="Arial" w:cs="Arial"/>
          <w:szCs w:val="24"/>
        </w:rPr>
        <w:t>(£</w:t>
      </w:r>
      <w:r w:rsidR="00F24B37" w:rsidRPr="00E72D53">
        <w:rPr>
          <w:rFonts w:ascii="Arial" w:hAnsi="Arial" w:cs="Arial"/>
          <w:szCs w:val="24"/>
        </w:rPr>
        <w:t>6</w:t>
      </w:r>
      <w:r w:rsidR="003E421B" w:rsidRPr="00E72D53">
        <w:rPr>
          <w:rFonts w:ascii="Arial" w:hAnsi="Arial" w:cs="Arial"/>
          <w:szCs w:val="24"/>
        </w:rPr>
        <w:t>4</w:t>
      </w:r>
      <w:r w:rsidR="00C61955" w:rsidRPr="00E72D53">
        <w:rPr>
          <w:rFonts w:ascii="Arial" w:hAnsi="Arial" w:cs="Arial"/>
          <w:szCs w:val="24"/>
        </w:rPr>
        <w:t xml:space="preserve">,000) </w:t>
      </w:r>
      <w:r w:rsidR="00C65D62" w:rsidRPr="00E72D53">
        <w:rPr>
          <w:rFonts w:ascii="Arial" w:hAnsi="Arial" w:cs="Arial"/>
          <w:szCs w:val="24"/>
        </w:rPr>
        <w:t>and Early Years District Adv</w:t>
      </w:r>
      <w:r w:rsidR="00933807" w:rsidRPr="00E72D53">
        <w:rPr>
          <w:rFonts w:ascii="Arial" w:hAnsi="Arial" w:cs="Arial"/>
          <w:szCs w:val="24"/>
        </w:rPr>
        <w:t>isory Teachers</w:t>
      </w:r>
      <w:r w:rsidR="00C61955" w:rsidRPr="00E72D53">
        <w:rPr>
          <w:rFonts w:ascii="Arial" w:hAnsi="Arial" w:cs="Arial"/>
          <w:szCs w:val="24"/>
        </w:rPr>
        <w:t xml:space="preserve"> (£</w:t>
      </w:r>
      <w:r w:rsidR="009F4791" w:rsidRPr="00E72D53">
        <w:rPr>
          <w:rFonts w:ascii="Arial" w:hAnsi="Arial" w:cs="Arial"/>
          <w:szCs w:val="24"/>
        </w:rPr>
        <w:t>101</w:t>
      </w:r>
      <w:r w:rsidR="00C61955" w:rsidRPr="00E72D53">
        <w:rPr>
          <w:rFonts w:ascii="Arial" w:hAnsi="Arial" w:cs="Arial"/>
          <w:szCs w:val="24"/>
        </w:rPr>
        <w:t>,000)</w:t>
      </w:r>
      <w:r w:rsidR="00933807" w:rsidRPr="00E72D53">
        <w:rPr>
          <w:rFonts w:ascii="Arial" w:hAnsi="Arial" w:cs="Arial"/>
          <w:szCs w:val="24"/>
        </w:rPr>
        <w:t xml:space="preserve"> is in relation to vacancies</w:t>
      </w:r>
      <w:r w:rsidR="00830DC3" w:rsidRPr="00E72D53">
        <w:rPr>
          <w:rFonts w:ascii="Arial" w:hAnsi="Arial" w:cs="Arial"/>
          <w:szCs w:val="24"/>
        </w:rPr>
        <w:t>,</w:t>
      </w:r>
      <w:r w:rsidR="00933807" w:rsidRPr="00E72D53">
        <w:rPr>
          <w:rFonts w:ascii="Arial" w:hAnsi="Arial" w:cs="Arial"/>
          <w:szCs w:val="24"/>
        </w:rPr>
        <w:t xml:space="preserve"> a reduction in travel related expenditure</w:t>
      </w:r>
      <w:r w:rsidR="00830DC3" w:rsidRPr="00E72D53">
        <w:rPr>
          <w:rFonts w:ascii="Arial" w:hAnsi="Arial" w:cs="Arial"/>
          <w:szCs w:val="24"/>
        </w:rPr>
        <w:t xml:space="preserve"> and increased income from sold services</w:t>
      </w:r>
      <w:r w:rsidR="00933807" w:rsidRPr="00E72D53">
        <w:rPr>
          <w:rFonts w:ascii="Arial" w:hAnsi="Arial" w:cs="Arial"/>
          <w:szCs w:val="24"/>
        </w:rPr>
        <w:t>.</w:t>
      </w:r>
    </w:p>
    <w:p w14:paraId="6F251263" w14:textId="799ADAD0" w:rsidR="00D85C64" w:rsidRPr="00F35814" w:rsidRDefault="00D85C64" w:rsidP="000947C7">
      <w:pPr>
        <w:pStyle w:val="Heading2"/>
        <w:keepNext w:val="0"/>
        <w:numPr>
          <w:ilvl w:val="0"/>
          <w:numId w:val="0"/>
        </w:numPr>
        <w:ind w:left="426"/>
        <w:jc w:val="left"/>
        <w:rPr>
          <w:rFonts w:ascii="Arial" w:hAnsi="Arial" w:cs="Arial"/>
          <w:b/>
          <w:szCs w:val="24"/>
        </w:rPr>
      </w:pPr>
      <w:r w:rsidRPr="00F35814">
        <w:rPr>
          <w:rFonts w:ascii="Arial" w:hAnsi="Arial" w:cs="Arial"/>
          <w:b/>
          <w:szCs w:val="24"/>
        </w:rPr>
        <w:t>Schools Block</w:t>
      </w:r>
    </w:p>
    <w:p w14:paraId="1AB3CF93" w14:textId="4E92029C" w:rsidR="00C61057" w:rsidRPr="00AE3AC3" w:rsidRDefault="00D85C64" w:rsidP="00C61057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</w:rPr>
      </w:pPr>
      <w:r w:rsidRPr="3529E931">
        <w:rPr>
          <w:rFonts w:ascii="Arial" w:hAnsi="Arial" w:cs="Arial"/>
        </w:rPr>
        <w:t>There is an underspend of 0.</w:t>
      </w:r>
      <w:r w:rsidR="00F35814" w:rsidRPr="3529E931">
        <w:rPr>
          <w:rFonts w:ascii="Arial" w:hAnsi="Arial" w:cs="Arial"/>
        </w:rPr>
        <w:t>3</w:t>
      </w:r>
      <w:r w:rsidRPr="3529E931">
        <w:rPr>
          <w:rFonts w:ascii="Arial" w:hAnsi="Arial" w:cs="Arial"/>
        </w:rPr>
        <w:t>% (£</w:t>
      </w:r>
      <w:r w:rsidR="00CD3F08" w:rsidRPr="3529E931">
        <w:rPr>
          <w:rFonts w:ascii="Arial" w:hAnsi="Arial" w:cs="Arial"/>
        </w:rPr>
        <w:t>1</w:t>
      </w:r>
      <w:r w:rsidR="000947C7" w:rsidRPr="3529E931">
        <w:rPr>
          <w:rFonts w:ascii="Arial" w:hAnsi="Arial" w:cs="Arial"/>
        </w:rPr>
        <w:t>.</w:t>
      </w:r>
      <w:r w:rsidR="00CD3F08" w:rsidRPr="3529E931">
        <w:rPr>
          <w:rFonts w:ascii="Arial" w:hAnsi="Arial" w:cs="Arial"/>
        </w:rPr>
        <w:t>8</w:t>
      </w:r>
      <w:r w:rsidRPr="3529E931">
        <w:rPr>
          <w:rFonts w:ascii="Arial" w:hAnsi="Arial" w:cs="Arial"/>
        </w:rPr>
        <w:t xml:space="preserve">m) on the Schools Block, </w:t>
      </w:r>
      <w:r w:rsidR="005B308F" w:rsidRPr="3529E931">
        <w:rPr>
          <w:rFonts w:ascii="Arial" w:hAnsi="Arial" w:cs="Arial"/>
        </w:rPr>
        <w:t xml:space="preserve">which is mostly </w:t>
      </w:r>
      <w:r w:rsidRPr="3529E931">
        <w:rPr>
          <w:rFonts w:ascii="Arial" w:hAnsi="Arial" w:cs="Arial"/>
        </w:rPr>
        <w:t xml:space="preserve">due to </w:t>
      </w:r>
      <w:r w:rsidR="29BD2D29" w:rsidRPr="6DFBCF44">
        <w:rPr>
          <w:rFonts w:ascii="Arial" w:hAnsi="Arial" w:cs="Arial"/>
        </w:rPr>
        <w:t xml:space="preserve">an </w:t>
      </w:r>
      <w:r w:rsidR="6E33919B" w:rsidRPr="6DFBCF44">
        <w:rPr>
          <w:rFonts w:ascii="Arial" w:hAnsi="Arial" w:cs="Arial"/>
        </w:rPr>
        <w:t>underspend</w:t>
      </w:r>
      <w:r w:rsidRPr="3529E931">
        <w:rPr>
          <w:rFonts w:ascii="Arial" w:hAnsi="Arial" w:cs="Arial"/>
        </w:rPr>
        <w:t xml:space="preserve"> on the growth fund and central provision funded by maintained schools (see paragraph</w:t>
      </w:r>
      <w:r w:rsidR="007450EF" w:rsidRPr="3529E931">
        <w:rPr>
          <w:rFonts w:ascii="Arial" w:hAnsi="Arial" w:cs="Arial"/>
        </w:rPr>
        <w:t>s</w:t>
      </w:r>
      <w:r w:rsidRPr="3529E931">
        <w:rPr>
          <w:rFonts w:ascii="Arial" w:hAnsi="Arial" w:cs="Arial"/>
        </w:rPr>
        <w:t xml:space="preserve"> </w:t>
      </w:r>
      <w:r w:rsidR="007450EF" w:rsidRPr="3529E931">
        <w:rPr>
          <w:rFonts w:ascii="Arial" w:hAnsi="Arial" w:cs="Arial"/>
        </w:rPr>
        <w:t>3.</w:t>
      </w:r>
      <w:r w:rsidR="00C00EAF" w:rsidRPr="3529E931">
        <w:rPr>
          <w:rFonts w:ascii="Arial" w:hAnsi="Arial" w:cs="Arial"/>
        </w:rPr>
        <w:t>2</w:t>
      </w:r>
      <w:r w:rsidR="00C00EAF">
        <w:rPr>
          <w:rFonts w:ascii="Arial" w:hAnsi="Arial" w:cs="Arial"/>
        </w:rPr>
        <w:t>1</w:t>
      </w:r>
      <w:r w:rsidR="00C00EAF" w:rsidRPr="3529E931">
        <w:rPr>
          <w:rFonts w:ascii="Arial" w:hAnsi="Arial" w:cs="Arial"/>
        </w:rPr>
        <w:t xml:space="preserve"> </w:t>
      </w:r>
      <w:r w:rsidR="00345187" w:rsidRPr="3529E931">
        <w:rPr>
          <w:rFonts w:ascii="Arial" w:hAnsi="Arial" w:cs="Arial"/>
        </w:rPr>
        <w:t>to</w:t>
      </w:r>
      <w:r w:rsidR="007450EF" w:rsidRPr="3529E931">
        <w:rPr>
          <w:rFonts w:ascii="Arial" w:hAnsi="Arial" w:cs="Arial"/>
        </w:rPr>
        <w:t xml:space="preserve"> 3.</w:t>
      </w:r>
      <w:r w:rsidR="00C00EAF" w:rsidRPr="3529E931">
        <w:rPr>
          <w:rFonts w:ascii="Arial" w:hAnsi="Arial" w:cs="Arial"/>
        </w:rPr>
        <w:t>2</w:t>
      </w:r>
      <w:r w:rsidR="00C00EAF">
        <w:rPr>
          <w:rFonts w:ascii="Arial" w:hAnsi="Arial" w:cs="Arial"/>
        </w:rPr>
        <w:t>3</w:t>
      </w:r>
      <w:r w:rsidRPr="3529E931">
        <w:rPr>
          <w:rFonts w:ascii="Arial" w:hAnsi="Arial" w:cs="Arial"/>
        </w:rPr>
        <w:t>)</w:t>
      </w:r>
      <w:r w:rsidR="00652AD8" w:rsidRPr="3529E931">
        <w:rPr>
          <w:rFonts w:ascii="Arial" w:hAnsi="Arial" w:cs="Arial"/>
        </w:rPr>
        <w:t>.</w:t>
      </w:r>
    </w:p>
    <w:p w14:paraId="17FC1989" w14:textId="252AF0B1" w:rsidR="006E0FCF" w:rsidRPr="008D565E" w:rsidRDefault="001C2466" w:rsidP="00634C26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273D6D">
        <w:rPr>
          <w:rFonts w:ascii="Arial" w:hAnsi="Arial" w:cs="Arial"/>
          <w:szCs w:val="24"/>
        </w:rPr>
        <w:t xml:space="preserve">There is a continued underspend on the growth fund </w:t>
      </w:r>
      <w:r w:rsidR="000A785E" w:rsidRPr="00273D6D">
        <w:rPr>
          <w:rFonts w:ascii="Arial" w:hAnsi="Arial" w:cs="Arial"/>
          <w:szCs w:val="24"/>
        </w:rPr>
        <w:t xml:space="preserve">due to </w:t>
      </w:r>
      <w:r w:rsidRPr="00273D6D">
        <w:rPr>
          <w:rFonts w:ascii="Arial" w:hAnsi="Arial" w:cs="Arial"/>
          <w:szCs w:val="24"/>
        </w:rPr>
        <w:t>spend being less than the</w:t>
      </w:r>
      <w:r w:rsidR="00B21906" w:rsidRPr="00273D6D">
        <w:rPr>
          <w:rFonts w:ascii="Arial" w:hAnsi="Arial" w:cs="Arial"/>
          <w:szCs w:val="24"/>
        </w:rPr>
        <w:t xml:space="preserve"> </w:t>
      </w:r>
      <w:r w:rsidR="000B39D8" w:rsidRPr="00273D6D">
        <w:rPr>
          <w:rFonts w:ascii="Arial" w:hAnsi="Arial" w:cs="Arial"/>
          <w:szCs w:val="24"/>
        </w:rPr>
        <w:t xml:space="preserve">amount </w:t>
      </w:r>
      <w:r w:rsidR="00B21906" w:rsidRPr="00273D6D">
        <w:rPr>
          <w:rFonts w:ascii="Arial" w:hAnsi="Arial" w:cs="Arial"/>
          <w:szCs w:val="24"/>
        </w:rPr>
        <w:t>allocat</w:t>
      </w:r>
      <w:r w:rsidR="000B39D8" w:rsidRPr="00273D6D">
        <w:rPr>
          <w:rFonts w:ascii="Arial" w:hAnsi="Arial" w:cs="Arial"/>
          <w:szCs w:val="24"/>
        </w:rPr>
        <w:t>ed</w:t>
      </w:r>
      <w:r w:rsidR="00B21906" w:rsidRPr="00273D6D">
        <w:rPr>
          <w:rFonts w:ascii="Arial" w:hAnsi="Arial" w:cs="Arial"/>
          <w:szCs w:val="24"/>
        </w:rPr>
        <w:t xml:space="preserve"> through the DfE’s national funding formula</w:t>
      </w:r>
      <w:r w:rsidRPr="00273D6D">
        <w:rPr>
          <w:rFonts w:ascii="Arial" w:hAnsi="Arial" w:cs="Arial"/>
          <w:szCs w:val="24"/>
        </w:rPr>
        <w:t>.</w:t>
      </w:r>
      <w:r w:rsidR="00591FED" w:rsidRPr="00273D6D">
        <w:rPr>
          <w:rFonts w:ascii="Arial" w:hAnsi="Arial" w:cs="Arial"/>
          <w:szCs w:val="24"/>
        </w:rPr>
        <w:t xml:space="preserve"> </w:t>
      </w:r>
      <w:r w:rsidR="002B4484" w:rsidRPr="00273D6D">
        <w:rPr>
          <w:rFonts w:ascii="Arial" w:hAnsi="Arial" w:cs="Arial"/>
          <w:szCs w:val="24"/>
        </w:rPr>
        <w:t>As the population growth moves from primary to secondary</w:t>
      </w:r>
      <w:r w:rsidR="003B3630">
        <w:rPr>
          <w:rFonts w:ascii="Arial" w:hAnsi="Arial" w:cs="Arial"/>
          <w:szCs w:val="24"/>
        </w:rPr>
        <w:t>,</w:t>
      </w:r>
      <w:r w:rsidR="00F00DEF" w:rsidRPr="00273D6D">
        <w:rPr>
          <w:rFonts w:ascii="Arial" w:hAnsi="Arial" w:cs="Arial"/>
          <w:szCs w:val="24"/>
        </w:rPr>
        <w:t xml:space="preserve"> </w:t>
      </w:r>
      <w:r w:rsidR="006E0FCF" w:rsidRPr="00273D6D">
        <w:rPr>
          <w:rFonts w:ascii="Arial" w:hAnsi="Arial" w:cs="Arial"/>
          <w:szCs w:val="24"/>
        </w:rPr>
        <w:t>there is a reducing number of primary schools eligible for growing schools funding</w:t>
      </w:r>
      <w:r w:rsidR="006E0FCF" w:rsidRPr="008D565E">
        <w:rPr>
          <w:rFonts w:ascii="Arial" w:hAnsi="Arial" w:cs="Arial"/>
          <w:szCs w:val="24"/>
        </w:rPr>
        <w:t xml:space="preserve"> </w:t>
      </w:r>
      <w:r w:rsidR="006E0FCF" w:rsidRPr="0047333B">
        <w:rPr>
          <w:rFonts w:ascii="Arial" w:hAnsi="Arial" w:cs="Arial"/>
          <w:szCs w:val="24"/>
        </w:rPr>
        <w:t>(</w:t>
      </w:r>
      <w:r w:rsidR="004E2DDB" w:rsidRPr="0047333B">
        <w:rPr>
          <w:rFonts w:ascii="Arial" w:hAnsi="Arial" w:cs="Arial"/>
          <w:szCs w:val="24"/>
        </w:rPr>
        <w:t>6</w:t>
      </w:r>
      <w:r w:rsidR="006E0FCF" w:rsidRPr="0047333B">
        <w:rPr>
          <w:rFonts w:ascii="Arial" w:hAnsi="Arial" w:cs="Arial"/>
          <w:szCs w:val="24"/>
        </w:rPr>
        <w:t xml:space="preserve"> less in 202</w:t>
      </w:r>
      <w:r w:rsidR="004E2DDB" w:rsidRPr="0047333B">
        <w:rPr>
          <w:rFonts w:ascii="Arial" w:hAnsi="Arial" w:cs="Arial"/>
          <w:szCs w:val="24"/>
        </w:rPr>
        <w:t>2</w:t>
      </w:r>
      <w:r w:rsidR="006E0FCF" w:rsidRPr="0047333B">
        <w:rPr>
          <w:rFonts w:ascii="Arial" w:hAnsi="Arial" w:cs="Arial"/>
          <w:szCs w:val="24"/>
        </w:rPr>
        <w:t>/2</w:t>
      </w:r>
      <w:r w:rsidR="004E2DDB" w:rsidRPr="0047333B">
        <w:rPr>
          <w:rFonts w:ascii="Arial" w:hAnsi="Arial" w:cs="Arial"/>
          <w:szCs w:val="24"/>
        </w:rPr>
        <w:t>3</w:t>
      </w:r>
      <w:r w:rsidR="006E0FCF" w:rsidRPr="0047333B">
        <w:rPr>
          <w:rFonts w:ascii="Arial" w:hAnsi="Arial" w:cs="Arial"/>
          <w:szCs w:val="24"/>
        </w:rPr>
        <w:t xml:space="preserve"> compared to 202</w:t>
      </w:r>
      <w:r w:rsidR="004E2DDB" w:rsidRPr="0047333B">
        <w:rPr>
          <w:rFonts w:ascii="Arial" w:hAnsi="Arial" w:cs="Arial"/>
          <w:szCs w:val="24"/>
        </w:rPr>
        <w:t>1</w:t>
      </w:r>
      <w:r w:rsidR="006E0FCF" w:rsidRPr="0047333B">
        <w:rPr>
          <w:rFonts w:ascii="Arial" w:hAnsi="Arial" w:cs="Arial"/>
          <w:szCs w:val="24"/>
        </w:rPr>
        <w:t>/2</w:t>
      </w:r>
      <w:r w:rsidR="004E2DDB" w:rsidRPr="0047333B">
        <w:rPr>
          <w:rFonts w:ascii="Arial" w:hAnsi="Arial" w:cs="Arial"/>
          <w:szCs w:val="24"/>
        </w:rPr>
        <w:t>2</w:t>
      </w:r>
      <w:r w:rsidR="006E0FCF" w:rsidRPr="0047333B">
        <w:rPr>
          <w:rFonts w:ascii="Arial" w:hAnsi="Arial" w:cs="Arial"/>
          <w:szCs w:val="24"/>
        </w:rPr>
        <w:t>)</w:t>
      </w:r>
      <w:r w:rsidR="003B3630">
        <w:rPr>
          <w:rFonts w:ascii="Arial" w:hAnsi="Arial" w:cs="Arial"/>
          <w:szCs w:val="24"/>
        </w:rPr>
        <w:t>,</w:t>
      </w:r>
      <w:r w:rsidR="007013E2" w:rsidRPr="0047333B">
        <w:rPr>
          <w:rFonts w:ascii="Arial" w:hAnsi="Arial" w:cs="Arial"/>
          <w:szCs w:val="24"/>
        </w:rPr>
        <w:t xml:space="preserve"> </w:t>
      </w:r>
      <w:r w:rsidR="007013E2" w:rsidRPr="005D7376">
        <w:rPr>
          <w:rFonts w:ascii="Arial" w:hAnsi="Arial" w:cs="Arial"/>
          <w:szCs w:val="24"/>
        </w:rPr>
        <w:t xml:space="preserve">but an increase in </w:t>
      </w:r>
      <w:r w:rsidR="004C2CEC" w:rsidRPr="005D7376">
        <w:rPr>
          <w:rFonts w:ascii="Arial" w:hAnsi="Arial" w:cs="Arial"/>
          <w:szCs w:val="24"/>
        </w:rPr>
        <w:t xml:space="preserve">eligible </w:t>
      </w:r>
      <w:r w:rsidR="007013E2" w:rsidRPr="005D7376">
        <w:rPr>
          <w:rFonts w:ascii="Arial" w:hAnsi="Arial" w:cs="Arial"/>
          <w:szCs w:val="24"/>
        </w:rPr>
        <w:t>secondary</w:t>
      </w:r>
      <w:r w:rsidR="004C2CEC" w:rsidRPr="005D7376">
        <w:rPr>
          <w:rFonts w:ascii="Arial" w:hAnsi="Arial" w:cs="Arial"/>
          <w:szCs w:val="24"/>
        </w:rPr>
        <w:t xml:space="preserve"> schools</w:t>
      </w:r>
      <w:r w:rsidR="009D31E1">
        <w:rPr>
          <w:rFonts w:ascii="Arial" w:hAnsi="Arial" w:cs="Arial"/>
          <w:szCs w:val="24"/>
        </w:rPr>
        <w:t xml:space="preserve"> of </w:t>
      </w:r>
      <w:r w:rsidR="003E7289">
        <w:rPr>
          <w:rFonts w:ascii="Arial" w:hAnsi="Arial" w:cs="Arial"/>
          <w:szCs w:val="24"/>
        </w:rPr>
        <w:t>one</w:t>
      </w:r>
      <w:r w:rsidR="004C2CEC" w:rsidRPr="005D7376">
        <w:rPr>
          <w:rFonts w:ascii="Arial" w:hAnsi="Arial" w:cs="Arial"/>
          <w:szCs w:val="24"/>
        </w:rPr>
        <w:t>.</w:t>
      </w:r>
    </w:p>
    <w:p w14:paraId="5F1D312C" w14:textId="0B71ED2B" w:rsidR="008D565E" w:rsidRDefault="008B31BB" w:rsidP="008D565E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bCs/>
          <w:szCs w:val="24"/>
        </w:rPr>
      </w:pPr>
      <w:r w:rsidRPr="008D565E">
        <w:rPr>
          <w:rFonts w:ascii="Arial" w:hAnsi="Arial" w:cs="Arial"/>
          <w:bCs/>
          <w:szCs w:val="24"/>
        </w:rPr>
        <w:t>Although t</w:t>
      </w:r>
      <w:r w:rsidR="00433F57" w:rsidRPr="008D565E">
        <w:rPr>
          <w:rFonts w:ascii="Arial" w:hAnsi="Arial" w:cs="Arial"/>
          <w:bCs/>
          <w:szCs w:val="24"/>
        </w:rPr>
        <w:t>here has been a</w:t>
      </w:r>
      <w:r w:rsidR="00381923" w:rsidRPr="008D565E">
        <w:rPr>
          <w:rFonts w:ascii="Arial" w:hAnsi="Arial" w:cs="Arial"/>
          <w:bCs/>
          <w:szCs w:val="24"/>
        </w:rPr>
        <w:t xml:space="preserve">n increase </w:t>
      </w:r>
      <w:r w:rsidR="00433F57" w:rsidRPr="008D565E">
        <w:rPr>
          <w:rFonts w:ascii="Arial" w:hAnsi="Arial" w:cs="Arial"/>
          <w:bCs/>
          <w:szCs w:val="24"/>
        </w:rPr>
        <w:t>in temporary classroom spend this year</w:t>
      </w:r>
      <w:r w:rsidR="00FA6C94" w:rsidRPr="008D565E">
        <w:rPr>
          <w:rFonts w:ascii="Arial" w:hAnsi="Arial" w:cs="Arial"/>
          <w:bCs/>
          <w:szCs w:val="24"/>
        </w:rPr>
        <w:t xml:space="preserve"> compared to 202</w:t>
      </w:r>
      <w:r w:rsidR="00381923" w:rsidRPr="008D565E">
        <w:rPr>
          <w:rFonts w:ascii="Arial" w:hAnsi="Arial" w:cs="Arial"/>
          <w:bCs/>
          <w:szCs w:val="24"/>
        </w:rPr>
        <w:t>1</w:t>
      </w:r>
      <w:r w:rsidR="00FA6C94" w:rsidRPr="008D565E">
        <w:rPr>
          <w:rFonts w:ascii="Arial" w:hAnsi="Arial" w:cs="Arial"/>
          <w:bCs/>
          <w:szCs w:val="24"/>
        </w:rPr>
        <w:t>/2</w:t>
      </w:r>
      <w:r w:rsidR="00381923" w:rsidRPr="008D565E">
        <w:rPr>
          <w:rFonts w:ascii="Arial" w:hAnsi="Arial" w:cs="Arial"/>
          <w:bCs/>
          <w:szCs w:val="24"/>
        </w:rPr>
        <w:t>2</w:t>
      </w:r>
      <w:r w:rsidRPr="008D565E">
        <w:rPr>
          <w:rFonts w:ascii="Arial" w:hAnsi="Arial" w:cs="Arial"/>
          <w:bCs/>
          <w:szCs w:val="24"/>
        </w:rPr>
        <w:t xml:space="preserve">, the final position </w:t>
      </w:r>
      <w:r w:rsidR="003B3630">
        <w:rPr>
          <w:rFonts w:ascii="Arial" w:hAnsi="Arial" w:cs="Arial"/>
          <w:bCs/>
          <w:szCs w:val="24"/>
        </w:rPr>
        <w:t>in respect of</w:t>
      </w:r>
      <w:r w:rsidR="003B3630" w:rsidRPr="008D565E">
        <w:rPr>
          <w:rFonts w:ascii="Arial" w:hAnsi="Arial" w:cs="Arial"/>
          <w:bCs/>
          <w:szCs w:val="24"/>
        </w:rPr>
        <w:t xml:space="preserve"> </w:t>
      </w:r>
      <w:r w:rsidRPr="008D565E">
        <w:rPr>
          <w:rFonts w:ascii="Arial" w:hAnsi="Arial" w:cs="Arial"/>
          <w:bCs/>
          <w:szCs w:val="24"/>
        </w:rPr>
        <w:t xml:space="preserve">temporary classrooms is an underspend of </w:t>
      </w:r>
      <w:r w:rsidR="003170F6" w:rsidRPr="008D565E">
        <w:rPr>
          <w:rFonts w:ascii="Arial" w:hAnsi="Arial" w:cs="Arial"/>
          <w:bCs/>
          <w:szCs w:val="24"/>
        </w:rPr>
        <w:t>£</w:t>
      </w:r>
      <w:r w:rsidR="00947628" w:rsidRPr="008D565E">
        <w:rPr>
          <w:rFonts w:ascii="Arial" w:hAnsi="Arial" w:cs="Arial"/>
          <w:bCs/>
          <w:szCs w:val="24"/>
        </w:rPr>
        <w:t>20</w:t>
      </w:r>
      <w:r w:rsidR="008C20E2" w:rsidRPr="008D565E">
        <w:rPr>
          <w:rFonts w:ascii="Arial" w:hAnsi="Arial" w:cs="Arial"/>
          <w:bCs/>
          <w:szCs w:val="24"/>
        </w:rPr>
        <w:t>0,000</w:t>
      </w:r>
      <w:r w:rsidR="00B50920" w:rsidRPr="008D565E">
        <w:rPr>
          <w:rFonts w:ascii="Arial" w:hAnsi="Arial" w:cs="Arial"/>
          <w:bCs/>
          <w:szCs w:val="24"/>
        </w:rPr>
        <w:t xml:space="preserve">. </w:t>
      </w:r>
      <w:r w:rsidR="00E73561" w:rsidRPr="008D565E">
        <w:rPr>
          <w:rFonts w:ascii="Arial" w:hAnsi="Arial" w:cs="Arial"/>
          <w:bCs/>
          <w:szCs w:val="24"/>
        </w:rPr>
        <w:t>This is a significant reduction</w:t>
      </w:r>
      <w:r w:rsidR="00CA3FBC">
        <w:rPr>
          <w:rFonts w:ascii="Arial" w:hAnsi="Arial" w:cs="Arial"/>
          <w:bCs/>
          <w:szCs w:val="24"/>
        </w:rPr>
        <w:t xml:space="preserve"> </w:t>
      </w:r>
      <w:r w:rsidR="00CA3FBC" w:rsidRPr="008D565E">
        <w:rPr>
          <w:rFonts w:ascii="Arial" w:hAnsi="Arial" w:cs="Arial"/>
          <w:bCs/>
          <w:szCs w:val="24"/>
        </w:rPr>
        <w:t>of £680,000</w:t>
      </w:r>
      <w:r w:rsidR="00CA3FBC">
        <w:rPr>
          <w:rFonts w:ascii="Arial" w:hAnsi="Arial" w:cs="Arial"/>
          <w:bCs/>
          <w:szCs w:val="24"/>
        </w:rPr>
        <w:t xml:space="preserve"> </w:t>
      </w:r>
      <w:r w:rsidR="005113B1">
        <w:rPr>
          <w:rFonts w:ascii="Arial" w:hAnsi="Arial" w:cs="Arial"/>
          <w:bCs/>
          <w:szCs w:val="24"/>
        </w:rPr>
        <w:t>compared with</w:t>
      </w:r>
      <w:r w:rsidR="000B41F1" w:rsidRPr="008D565E">
        <w:rPr>
          <w:rFonts w:ascii="Arial" w:hAnsi="Arial" w:cs="Arial"/>
          <w:bCs/>
          <w:szCs w:val="24"/>
        </w:rPr>
        <w:t xml:space="preserve"> </w:t>
      </w:r>
      <w:r w:rsidR="00370739">
        <w:rPr>
          <w:rFonts w:ascii="Arial" w:hAnsi="Arial" w:cs="Arial"/>
          <w:bCs/>
          <w:szCs w:val="24"/>
        </w:rPr>
        <w:t xml:space="preserve">the </w:t>
      </w:r>
      <w:r w:rsidR="000B41F1" w:rsidRPr="008D565E">
        <w:rPr>
          <w:rFonts w:ascii="Arial" w:hAnsi="Arial" w:cs="Arial"/>
          <w:bCs/>
          <w:szCs w:val="24"/>
        </w:rPr>
        <w:t xml:space="preserve">forecast </w:t>
      </w:r>
      <w:r w:rsidR="005113B1">
        <w:rPr>
          <w:rFonts w:ascii="Arial" w:hAnsi="Arial" w:cs="Arial"/>
          <w:bCs/>
          <w:szCs w:val="24"/>
        </w:rPr>
        <w:t>previously reported</w:t>
      </w:r>
      <w:r w:rsidR="000E7C7B">
        <w:rPr>
          <w:rFonts w:ascii="Arial" w:hAnsi="Arial" w:cs="Arial"/>
          <w:bCs/>
          <w:szCs w:val="24"/>
        </w:rPr>
        <w:t xml:space="preserve">. </w:t>
      </w:r>
      <w:r w:rsidR="00173088">
        <w:rPr>
          <w:rFonts w:ascii="Arial" w:hAnsi="Arial" w:cs="Arial"/>
          <w:bCs/>
          <w:szCs w:val="24"/>
        </w:rPr>
        <w:t>This was a</w:t>
      </w:r>
      <w:r w:rsidR="003B3630">
        <w:rPr>
          <w:rFonts w:ascii="Arial" w:hAnsi="Arial" w:cs="Arial"/>
          <w:bCs/>
          <w:szCs w:val="24"/>
        </w:rPr>
        <w:t>s a</w:t>
      </w:r>
      <w:r w:rsidR="00173088">
        <w:rPr>
          <w:rFonts w:ascii="Arial" w:hAnsi="Arial" w:cs="Arial"/>
          <w:bCs/>
          <w:szCs w:val="24"/>
        </w:rPr>
        <w:t xml:space="preserve"> result of </w:t>
      </w:r>
      <w:r w:rsidR="00173088" w:rsidRPr="00173088">
        <w:rPr>
          <w:rFonts w:ascii="Arial" w:hAnsi="Arial" w:cs="Arial"/>
          <w:bCs/>
          <w:szCs w:val="24"/>
        </w:rPr>
        <w:t xml:space="preserve">greater use of capital funding to support the </w:t>
      </w:r>
      <w:proofErr w:type="spellStart"/>
      <w:r w:rsidR="00173088" w:rsidRPr="00173088">
        <w:rPr>
          <w:rFonts w:ascii="Arial" w:hAnsi="Arial" w:cs="Arial"/>
          <w:bCs/>
          <w:szCs w:val="24"/>
        </w:rPr>
        <w:t>programme</w:t>
      </w:r>
      <w:proofErr w:type="spellEnd"/>
      <w:r w:rsidR="00173088" w:rsidRPr="00173088">
        <w:rPr>
          <w:rFonts w:ascii="Arial" w:hAnsi="Arial" w:cs="Arial"/>
          <w:bCs/>
          <w:szCs w:val="24"/>
        </w:rPr>
        <w:t xml:space="preserve"> through the </w:t>
      </w:r>
      <w:proofErr w:type="spellStart"/>
      <w:r w:rsidR="00173088" w:rsidRPr="00173088">
        <w:rPr>
          <w:rFonts w:ascii="Arial" w:hAnsi="Arial" w:cs="Arial"/>
          <w:bCs/>
          <w:szCs w:val="24"/>
        </w:rPr>
        <w:t>capitalisation</w:t>
      </w:r>
      <w:proofErr w:type="spellEnd"/>
      <w:r w:rsidR="00173088" w:rsidRPr="00173088">
        <w:rPr>
          <w:rFonts w:ascii="Arial" w:hAnsi="Arial" w:cs="Arial"/>
          <w:bCs/>
          <w:szCs w:val="24"/>
        </w:rPr>
        <w:t xml:space="preserve"> of revenue costs.</w:t>
      </w:r>
    </w:p>
    <w:p w14:paraId="223304A8" w14:textId="045DBFC1" w:rsidR="009414E5" w:rsidRPr="0046248B" w:rsidRDefault="00EF58BC">
      <w:pPr>
        <w:pStyle w:val="Heading2"/>
        <w:keepNext w:val="0"/>
        <w:numPr>
          <w:ilvl w:val="0"/>
          <w:numId w:val="0"/>
        </w:numPr>
        <w:tabs>
          <w:tab w:val="num" w:pos="426"/>
        </w:tabs>
        <w:ind w:left="426"/>
        <w:jc w:val="left"/>
        <w:rPr>
          <w:rFonts w:ascii="Arial" w:hAnsi="Arial" w:cs="Arial"/>
          <w:b/>
          <w:szCs w:val="24"/>
        </w:rPr>
      </w:pPr>
      <w:r w:rsidRPr="0046248B">
        <w:rPr>
          <w:rFonts w:ascii="Arial" w:hAnsi="Arial" w:cs="Arial"/>
          <w:b/>
          <w:szCs w:val="24"/>
        </w:rPr>
        <w:t>High Needs Block</w:t>
      </w:r>
    </w:p>
    <w:p w14:paraId="1E4CEE27" w14:textId="006E7266" w:rsidR="001E1BED" w:rsidRDefault="003A0E5D" w:rsidP="00634C26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Style w:val="normaltextrun"/>
          <w:rFonts w:ascii="Arial" w:hAnsi="Arial" w:cs="Arial"/>
        </w:rPr>
      </w:pPr>
      <w:r w:rsidRPr="00D04BEA">
        <w:rPr>
          <w:rStyle w:val="normaltextrun"/>
          <w:rFonts w:ascii="Arial" w:hAnsi="Arial" w:cs="Arial"/>
        </w:rPr>
        <w:t>The final position on the High Needs Block is an overspend of £30.4m (18.5%). This represents an increase in expenditure in 2022/23 of £26.1m (17%) from the prior year</w:t>
      </w:r>
      <w:r w:rsidR="00E6574D">
        <w:rPr>
          <w:rStyle w:val="normaltextrun"/>
          <w:rFonts w:ascii="Arial" w:hAnsi="Arial" w:cs="Arial"/>
        </w:rPr>
        <w:t>,</w:t>
      </w:r>
      <w:r w:rsidRPr="00D04BEA">
        <w:rPr>
          <w:rStyle w:val="normaltextrun"/>
          <w:rFonts w:ascii="Arial" w:hAnsi="Arial" w:cs="Arial"/>
        </w:rPr>
        <w:t xml:space="preserve"> continuing the trend growth in expenditure experienced in previous years (2021/22 £17.8m/ 13%).</w:t>
      </w:r>
      <w:r w:rsidR="00A426D3" w:rsidRPr="00A426D3">
        <w:rPr>
          <w:rStyle w:val="normaltextrun"/>
          <w:rFonts w:ascii="Arial" w:hAnsi="Arial" w:cs="Arial"/>
        </w:rPr>
        <w:t xml:space="preserve"> </w:t>
      </w:r>
      <w:r w:rsidR="00A426D3">
        <w:rPr>
          <w:rStyle w:val="normaltextrun"/>
          <w:rFonts w:ascii="Arial" w:hAnsi="Arial" w:cs="Arial"/>
        </w:rPr>
        <w:t xml:space="preserve"> </w:t>
      </w:r>
      <w:r w:rsidR="00A426D3" w:rsidRPr="00A426D3">
        <w:rPr>
          <w:rStyle w:val="normaltextrun"/>
          <w:rFonts w:ascii="Arial" w:hAnsi="Arial" w:cs="Arial"/>
        </w:rPr>
        <w:t>However</w:t>
      </w:r>
      <w:r w:rsidR="00E6574D">
        <w:rPr>
          <w:rStyle w:val="normaltextrun"/>
          <w:rFonts w:ascii="Arial" w:hAnsi="Arial" w:cs="Arial"/>
        </w:rPr>
        <w:t>,</w:t>
      </w:r>
      <w:r w:rsidR="00A426D3" w:rsidRPr="00A426D3">
        <w:rPr>
          <w:rStyle w:val="normaltextrun"/>
          <w:rFonts w:ascii="Arial" w:hAnsi="Arial" w:cs="Arial"/>
        </w:rPr>
        <w:t xml:space="preserve"> the growth is lower than forecast and future projections have been adjusted and are being monitored closely in relation to our savings </w:t>
      </w:r>
      <w:proofErr w:type="spellStart"/>
      <w:r w:rsidR="00A426D3" w:rsidRPr="00A426D3">
        <w:rPr>
          <w:rStyle w:val="normaltextrun"/>
          <w:rFonts w:ascii="Arial" w:hAnsi="Arial" w:cs="Arial"/>
        </w:rPr>
        <w:t>programmes</w:t>
      </w:r>
      <w:proofErr w:type="spellEnd"/>
      <w:r w:rsidR="00A426D3" w:rsidRPr="00A426D3">
        <w:rPr>
          <w:rStyle w:val="normaltextrun"/>
          <w:rFonts w:ascii="Arial" w:hAnsi="Arial" w:cs="Arial"/>
        </w:rPr>
        <w:t>.</w:t>
      </w:r>
    </w:p>
    <w:p w14:paraId="5393875B" w14:textId="5EEA8092" w:rsidR="00B8008A" w:rsidRPr="00B87774" w:rsidRDefault="00B807B6" w:rsidP="00634C26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Q</w:t>
      </w:r>
      <w:r w:rsidR="00225641" w:rsidRPr="00B87774">
        <w:rPr>
          <w:rStyle w:val="normaltextrun"/>
          <w:rFonts w:ascii="Arial" w:hAnsi="Arial" w:cs="Arial"/>
        </w:rPr>
        <w:t xml:space="preserve">uarterly </w:t>
      </w:r>
      <w:r>
        <w:rPr>
          <w:rStyle w:val="normaltextrun"/>
          <w:rFonts w:ascii="Arial" w:hAnsi="Arial" w:cs="Arial"/>
        </w:rPr>
        <w:t>monitoring</w:t>
      </w:r>
      <w:r w:rsidRPr="00B87774">
        <w:rPr>
          <w:rStyle w:val="normaltextrun"/>
          <w:rFonts w:ascii="Arial" w:hAnsi="Arial" w:cs="Arial"/>
        </w:rPr>
        <w:t xml:space="preserve"> </w:t>
      </w:r>
      <w:r w:rsidR="00225641" w:rsidRPr="00B87774">
        <w:rPr>
          <w:rStyle w:val="normaltextrun"/>
          <w:rFonts w:ascii="Arial" w:hAnsi="Arial" w:cs="Arial"/>
        </w:rPr>
        <w:t>show</w:t>
      </w:r>
      <w:r>
        <w:rPr>
          <w:rStyle w:val="normaltextrun"/>
          <w:rFonts w:ascii="Arial" w:hAnsi="Arial" w:cs="Arial"/>
        </w:rPr>
        <w:t>s</w:t>
      </w:r>
      <w:r w:rsidR="00225641" w:rsidRPr="00B87774">
        <w:rPr>
          <w:rStyle w:val="normaltextrun"/>
          <w:rFonts w:ascii="Arial" w:hAnsi="Arial" w:cs="Arial"/>
        </w:rPr>
        <w:t xml:space="preserve"> that the </w:t>
      </w:r>
      <w:r w:rsidR="00CB60F5" w:rsidRPr="00B87774">
        <w:rPr>
          <w:rStyle w:val="normaltextrun"/>
          <w:rFonts w:ascii="Arial" w:hAnsi="Arial" w:cs="Arial"/>
        </w:rPr>
        <w:t>number of education, health and care plans (EHCPs) continues to increase</w:t>
      </w:r>
      <w:r w:rsidR="00A23781" w:rsidRPr="00B87774">
        <w:rPr>
          <w:rStyle w:val="normaltextrun"/>
          <w:rFonts w:ascii="Arial" w:hAnsi="Arial" w:cs="Arial"/>
        </w:rPr>
        <w:t>.</w:t>
      </w:r>
      <w:r w:rsidR="00CB4E59" w:rsidRPr="00B87774">
        <w:rPr>
          <w:rStyle w:val="normaltextrun"/>
          <w:rFonts w:ascii="Arial" w:hAnsi="Arial" w:cs="Arial"/>
        </w:rPr>
        <w:t xml:space="preserve"> At </w:t>
      </w:r>
      <w:r w:rsidR="006B2E6B" w:rsidRPr="00B87774">
        <w:rPr>
          <w:rStyle w:val="normaltextrun"/>
          <w:rFonts w:ascii="Arial" w:hAnsi="Arial" w:cs="Arial"/>
        </w:rPr>
        <w:t>the 31 March 202</w:t>
      </w:r>
      <w:r w:rsidR="008670FC" w:rsidRPr="00B87774">
        <w:rPr>
          <w:rStyle w:val="normaltextrun"/>
          <w:rFonts w:ascii="Arial" w:hAnsi="Arial" w:cs="Arial"/>
        </w:rPr>
        <w:t>3</w:t>
      </w:r>
      <w:r w:rsidR="00493E47" w:rsidRPr="00B87774">
        <w:rPr>
          <w:rStyle w:val="normaltextrun"/>
          <w:rFonts w:ascii="Arial" w:hAnsi="Arial" w:cs="Arial"/>
        </w:rPr>
        <w:t>, the C</w:t>
      </w:r>
      <w:r w:rsidR="00225641" w:rsidRPr="00B87774">
        <w:rPr>
          <w:rStyle w:val="normaltextrun"/>
          <w:rFonts w:ascii="Arial" w:hAnsi="Arial" w:cs="Arial"/>
        </w:rPr>
        <w:t xml:space="preserve">ounty Council was maintaining </w:t>
      </w:r>
      <w:r w:rsidR="00031589" w:rsidRPr="00B87774">
        <w:rPr>
          <w:rStyle w:val="normaltextrun"/>
          <w:rFonts w:ascii="Arial" w:hAnsi="Arial" w:cs="Arial"/>
        </w:rPr>
        <w:t>14,946</w:t>
      </w:r>
      <w:r w:rsidR="008653F0" w:rsidRPr="00B87774">
        <w:rPr>
          <w:rStyle w:val="normaltextrun"/>
          <w:rFonts w:ascii="Arial" w:hAnsi="Arial" w:cs="Arial"/>
        </w:rPr>
        <w:t xml:space="preserve"> </w:t>
      </w:r>
      <w:r w:rsidR="00225641" w:rsidRPr="00B87774">
        <w:rPr>
          <w:rStyle w:val="normaltextrun"/>
          <w:rFonts w:ascii="Arial" w:hAnsi="Arial" w:cs="Arial"/>
        </w:rPr>
        <w:t>EHCPs</w:t>
      </w:r>
      <w:r w:rsidR="00B8008A" w:rsidRPr="00B87774">
        <w:rPr>
          <w:rStyle w:val="normaltextrun"/>
          <w:rFonts w:ascii="Arial" w:hAnsi="Arial" w:cs="Arial"/>
        </w:rPr>
        <w:t>, which is</w:t>
      </w:r>
      <w:r w:rsidR="00BB5915" w:rsidRPr="00B87774">
        <w:rPr>
          <w:rStyle w:val="normaltextrun"/>
          <w:rFonts w:ascii="Arial" w:hAnsi="Arial" w:cs="Arial"/>
        </w:rPr>
        <w:t xml:space="preserve"> </w:t>
      </w:r>
      <w:r w:rsidR="006F520A" w:rsidRPr="00B87774">
        <w:rPr>
          <w:rStyle w:val="normaltextrun"/>
          <w:rFonts w:ascii="Arial" w:hAnsi="Arial" w:cs="Arial"/>
        </w:rPr>
        <w:t>14</w:t>
      </w:r>
      <w:r w:rsidR="00BB5915" w:rsidRPr="00B87774">
        <w:rPr>
          <w:rStyle w:val="normaltextrun"/>
          <w:rFonts w:ascii="Arial" w:hAnsi="Arial" w:cs="Arial"/>
        </w:rPr>
        <w:t>% more than at the end of March 202</w:t>
      </w:r>
      <w:r w:rsidR="006F520A" w:rsidRPr="00B87774">
        <w:rPr>
          <w:rStyle w:val="normaltextrun"/>
          <w:rFonts w:ascii="Arial" w:hAnsi="Arial" w:cs="Arial"/>
        </w:rPr>
        <w:t>2</w:t>
      </w:r>
      <w:r w:rsidR="00BB5915" w:rsidRPr="00B87774">
        <w:rPr>
          <w:rStyle w:val="normaltextrun"/>
          <w:rFonts w:ascii="Arial" w:hAnsi="Arial" w:cs="Arial"/>
        </w:rPr>
        <w:t>.</w:t>
      </w:r>
      <w:r w:rsidR="00584CCC" w:rsidRPr="00B87774">
        <w:rPr>
          <w:rStyle w:val="normaltextrun"/>
          <w:rFonts w:ascii="Arial" w:hAnsi="Arial" w:cs="Arial"/>
        </w:rPr>
        <w:t xml:space="preserve"> </w:t>
      </w:r>
    </w:p>
    <w:p w14:paraId="4EEF633B" w14:textId="2B57FDD7" w:rsidR="00A66E27" w:rsidRPr="009744C5" w:rsidRDefault="00E93EF5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</w:pPr>
      <w:r w:rsidRPr="00094BA9">
        <w:rPr>
          <w:rStyle w:val="normaltextrun"/>
          <w:rFonts w:ascii="Arial" w:hAnsi="Arial" w:cs="Arial"/>
        </w:rPr>
        <w:t xml:space="preserve">There continues to be a significant pressure on the independent </w:t>
      </w:r>
      <w:r w:rsidR="00FD7D3C" w:rsidRPr="00094BA9">
        <w:rPr>
          <w:rStyle w:val="normaltextrun"/>
          <w:rFonts w:ascii="Arial" w:hAnsi="Arial" w:cs="Arial"/>
        </w:rPr>
        <w:t>provisions</w:t>
      </w:r>
      <w:r w:rsidR="007C5782" w:rsidRPr="00094BA9">
        <w:rPr>
          <w:rStyle w:val="normaltextrun"/>
          <w:rFonts w:ascii="Arial" w:hAnsi="Arial" w:cs="Arial"/>
        </w:rPr>
        <w:t xml:space="preserve"> of £</w:t>
      </w:r>
      <w:r w:rsidR="00960503" w:rsidRPr="00094BA9">
        <w:rPr>
          <w:rStyle w:val="normaltextrun"/>
          <w:rFonts w:ascii="Arial" w:hAnsi="Arial" w:cs="Arial"/>
        </w:rPr>
        <w:t>22.9</w:t>
      </w:r>
      <w:r w:rsidR="007C5782" w:rsidRPr="00094BA9">
        <w:rPr>
          <w:rStyle w:val="normaltextrun"/>
          <w:rFonts w:ascii="Arial" w:hAnsi="Arial" w:cs="Arial"/>
        </w:rPr>
        <w:t>m</w:t>
      </w:r>
      <w:r w:rsidR="002B263D" w:rsidRPr="00094BA9">
        <w:rPr>
          <w:rStyle w:val="normaltextrun"/>
          <w:rFonts w:ascii="Arial" w:hAnsi="Arial" w:cs="Arial"/>
        </w:rPr>
        <w:t>, with spend increasing by £</w:t>
      </w:r>
      <w:r w:rsidR="00EE756F" w:rsidRPr="00094BA9">
        <w:rPr>
          <w:rStyle w:val="normaltextrun"/>
          <w:rFonts w:ascii="Arial" w:hAnsi="Arial" w:cs="Arial"/>
        </w:rPr>
        <w:t>13.1</w:t>
      </w:r>
      <w:r w:rsidR="002B263D" w:rsidRPr="00094BA9">
        <w:rPr>
          <w:rStyle w:val="normaltextrun"/>
          <w:rFonts w:ascii="Arial" w:hAnsi="Arial" w:cs="Arial"/>
        </w:rPr>
        <w:t>m compared to the 20</w:t>
      </w:r>
      <w:r w:rsidR="00426B5D" w:rsidRPr="00094BA9">
        <w:rPr>
          <w:rStyle w:val="normaltextrun"/>
          <w:rFonts w:ascii="Arial" w:hAnsi="Arial" w:cs="Arial"/>
        </w:rPr>
        <w:t>2</w:t>
      </w:r>
      <w:r w:rsidR="00094BA9" w:rsidRPr="00094BA9">
        <w:rPr>
          <w:rStyle w:val="normaltextrun"/>
          <w:rFonts w:ascii="Arial" w:hAnsi="Arial" w:cs="Arial"/>
        </w:rPr>
        <w:t>1/22</w:t>
      </w:r>
      <w:r w:rsidR="002B263D" w:rsidRPr="00094BA9">
        <w:rPr>
          <w:rStyle w:val="normaltextrun"/>
          <w:rFonts w:ascii="Arial" w:hAnsi="Arial" w:cs="Arial"/>
        </w:rPr>
        <w:t xml:space="preserve"> outturn</w:t>
      </w:r>
      <w:r w:rsidR="00B807B6">
        <w:rPr>
          <w:rStyle w:val="normaltextrun"/>
          <w:rFonts w:ascii="Arial" w:hAnsi="Arial" w:cs="Arial"/>
        </w:rPr>
        <w:t>,</w:t>
      </w:r>
      <w:r w:rsidR="00BD0467">
        <w:rPr>
          <w:rStyle w:val="normaltextrun"/>
          <w:rFonts w:ascii="Arial" w:hAnsi="Arial" w:cs="Arial"/>
        </w:rPr>
        <w:t xml:space="preserve"> continuing the </w:t>
      </w:r>
      <w:r w:rsidR="00727A2C">
        <w:rPr>
          <w:rStyle w:val="normaltextrun"/>
          <w:rFonts w:ascii="Arial" w:hAnsi="Arial" w:cs="Arial"/>
        </w:rPr>
        <w:t xml:space="preserve">trend of </w:t>
      </w:r>
      <w:r w:rsidR="006618BF">
        <w:rPr>
          <w:rStyle w:val="normaltextrun"/>
          <w:rFonts w:ascii="Arial" w:hAnsi="Arial" w:cs="Arial"/>
        </w:rPr>
        <w:t>recent</w:t>
      </w:r>
      <w:r w:rsidR="00F52788">
        <w:rPr>
          <w:rStyle w:val="normaltextrun"/>
          <w:rFonts w:ascii="Arial" w:hAnsi="Arial" w:cs="Arial"/>
        </w:rPr>
        <w:t xml:space="preserve"> years of significant growth</w:t>
      </w:r>
      <w:r w:rsidR="002B263D" w:rsidRPr="00094BA9">
        <w:rPr>
          <w:rStyle w:val="normaltextrun"/>
          <w:rFonts w:ascii="Arial" w:hAnsi="Arial" w:cs="Arial"/>
        </w:rPr>
        <w:t>.</w:t>
      </w:r>
      <w:r w:rsidR="00E31C27" w:rsidRPr="00094BA9">
        <w:rPr>
          <w:rStyle w:val="normaltextrun"/>
          <w:rFonts w:ascii="Arial" w:hAnsi="Arial" w:cs="Arial"/>
        </w:rPr>
        <w:t xml:space="preserve"> </w:t>
      </w:r>
      <w:r w:rsidR="00E31C27" w:rsidRPr="009744C5">
        <w:rPr>
          <w:rStyle w:val="normaltextrun"/>
          <w:rFonts w:ascii="Arial" w:hAnsi="Arial" w:cs="Arial"/>
        </w:rPr>
        <w:lastRenderedPageBreak/>
        <w:t>The following table shows how the number and cost of placements has changed since financial year 2021</w:t>
      </w:r>
      <w:r w:rsidR="00380619" w:rsidRPr="009744C5">
        <w:rPr>
          <w:rStyle w:val="normaltextrun"/>
          <w:rFonts w:ascii="Arial" w:hAnsi="Arial" w:cs="Arial"/>
        </w:rPr>
        <w:t>/22</w:t>
      </w:r>
      <w:r w:rsidR="00E31C27" w:rsidRPr="009744C5">
        <w:rPr>
          <w:rStyle w:val="normaltextrun"/>
          <w:rFonts w:ascii="Arial" w:hAnsi="Arial" w:cs="Arial"/>
        </w:rPr>
        <w:t>: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2117"/>
        <w:gridCol w:w="1842"/>
        <w:gridCol w:w="1560"/>
        <w:gridCol w:w="1457"/>
        <w:gridCol w:w="1084"/>
      </w:tblGrid>
      <w:tr w:rsidR="00363AFA" w:rsidRPr="00864FC9" w14:paraId="56BDDC3B" w14:textId="77777777" w:rsidTr="00363AFA">
        <w:trPr>
          <w:trHeight w:val="1171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17A5" w14:textId="77777777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1179" w14:textId="27C38C43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 xml:space="preserve">No. of </w:t>
            </w:r>
            <w:r w:rsidR="00FF0839" w:rsidRPr="00864FC9">
              <w:rPr>
                <w:rFonts w:ascii="Arial" w:hAnsi="Arial" w:cs="Arial"/>
                <w:szCs w:val="24"/>
                <w:lang w:eastAsia="en-GB"/>
              </w:rPr>
              <w:t>full-time</w:t>
            </w:r>
            <w:r w:rsidRPr="00864FC9">
              <w:rPr>
                <w:rFonts w:ascii="Arial" w:hAnsi="Arial" w:cs="Arial"/>
                <w:szCs w:val="24"/>
                <w:lang w:eastAsia="en-GB"/>
              </w:rPr>
              <w:t xml:space="preserve"> equivalent placements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249A" w14:textId="3120F3AA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% change from 2021</w:t>
            </w:r>
            <w:r w:rsidR="002F19AE">
              <w:rPr>
                <w:rFonts w:ascii="Arial" w:hAnsi="Arial" w:cs="Arial"/>
                <w:szCs w:val="24"/>
                <w:lang w:eastAsia="en-GB"/>
              </w:rPr>
              <w:t>/</w:t>
            </w:r>
            <w:r w:rsidR="002F19AE" w:rsidRPr="00FF0839">
              <w:rPr>
                <w:rFonts w:ascii="Arial" w:hAnsi="Arial" w:cs="Arial"/>
                <w:szCs w:val="24"/>
                <w:lang w:eastAsia="en-GB"/>
              </w:rPr>
              <w:t>22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6F307" w14:textId="77777777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Average cost per placement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6072A" w14:textId="4B513C45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% change from 2021</w:t>
            </w:r>
            <w:r w:rsidR="004C2A3D">
              <w:rPr>
                <w:rFonts w:ascii="Arial" w:hAnsi="Arial" w:cs="Arial"/>
                <w:szCs w:val="24"/>
                <w:lang w:eastAsia="en-GB"/>
              </w:rPr>
              <w:t>/</w:t>
            </w:r>
            <w:r w:rsidR="004C2A3D" w:rsidRPr="00FF0839">
              <w:rPr>
                <w:rFonts w:ascii="Arial" w:hAnsi="Arial" w:cs="Arial"/>
                <w:szCs w:val="24"/>
                <w:lang w:eastAsia="en-GB"/>
              </w:rPr>
              <w:t>22</w:t>
            </w:r>
          </w:p>
        </w:tc>
      </w:tr>
      <w:tr w:rsidR="00363AFA" w:rsidRPr="00864FC9" w14:paraId="5B28A5A9" w14:textId="77777777" w:rsidTr="00363AFA">
        <w:trPr>
          <w:trHeight w:val="30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9495" w14:textId="77777777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INMSS – SEN only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EE71B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758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4BB85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34.6%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AA672" w14:textId="1AC7C4E5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 xml:space="preserve">     </w:t>
            </w:r>
            <w:r w:rsidR="007F71BC">
              <w:rPr>
                <w:rFonts w:ascii="Arial" w:hAnsi="Arial" w:cs="Arial"/>
                <w:szCs w:val="24"/>
                <w:lang w:eastAsia="en-GB"/>
              </w:rPr>
              <w:t>£</w:t>
            </w:r>
            <w:r w:rsidRPr="00864FC9">
              <w:rPr>
                <w:rFonts w:ascii="Arial" w:hAnsi="Arial" w:cs="Arial"/>
                <w:szCs w:val="24"/>
                <w:lang w:eastAsia="en-GB"/>
              </w:rPr>
              <w:t>65,834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0480C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0.2%</w:t>
            </w:r>
          </w:p>
        </w:tc>
      </w:tr>
      <w:tr w:rsidR="00363AFA" w:rsidRPr="00864FC9" w14:paraId="63FD87AA" w14:textId="77777777" w:rsidTr="00363AFA">
        <w:trPr>
          <w:trHeight w:val="59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8322A" w14:textId="77777777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INMSS – Joint Funded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5311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9CE6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2.5%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08B6" w14:textId="5D451AA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 xml:space="preserve">£141,882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EE9D6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19.8%</w:t>
            </w:r>
          </w:p>
        </w:tc>
      </w:tr>
      <w:tr w:rsidR="00363AFA" w:rsidRPr="00864FC9" w14:paraId="17D2EFEC" w14:textId="77777777" w:rsidTr="00363AFA">
        <w:trPr>
          <w:trHeight w:val="30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6532" w14:textId="77777777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SPI – SEN only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D9E0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B2E63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104.7%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2E70" w14:textId="797D76D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 xml:space="preserve"> £56,885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2115" w14:textId="2B2A6986" w:rsidR="00864FC9" w:rsidRPr="00864FC9" w:rsidRDefault="00A3655B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>
              <w:rPr>
                <w:rFonts w:ascii="Arial" w:hAnsi="Arial" w:cs="Arial"/>
                <w:szCs w:val="24"/>
                <w:lang w:val="en-GB" w:eastAsia="en-GB"/>
              </w:rPr>
              <w:t>(</w:t>
            </w:r>
            <w:r w:rsidR="00864FC9" w:rsidRPr="00864FC9">
              <w:rPr>
                <w:rFonts w:ascii="Arial" w:hAnsi="Arial" w:cs="Arial"/>
                <w:szCs w:val="24"/>
                <w:lang w:val="en-GB" w:eastAsia="en-GB"/>
              </w:rPr>
              <w:t>38.1%</w:t>
            </w:r>
            <w:r>
              <w:rPr>
                <w:rFonts w:ascii="Arial" w:hAnsi="Arial" w:cs="Arial"/>
                <w:szCs w:val="24"/>
                <w:lang w:val="en-GB" w:eastAsia="en-GB"/>
              </w:rPr>
              <w:t>)</w:t>
            </w:r>
          </w:p>
        </w:tc>
      </w:tr>
      <w:tr w:rsidR="00363AFA" w:rsidRPr="00864FC9" w14:paraId="65F6AB09" w14:textId="77777777" w:rsidTr="00363AFA">
        <w:trPr>
          <w:trHeight w:val="30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DEEE" w14:textId="77777777" w:rsidR="00864FC9" w:rsidRPr="00864FC9" w:rsidRDefault="00864FC9" w:rsidP="00864FC9">
            <w:pPr>
              <w:spacing w:after="0"/>
              <w:jc w:val="lef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>SPI – Joint Funded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71668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36FFA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8.7%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CA66" w14:textId="5A8D4ADA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eastAsia="en-GB"/>
              </w:rPr>
              <w:t xml:space="preserve"> £70,492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07935" w14:textId="77777777" w:rsidR="00864FC9" w:rsidRPr="00864FC9" w:rsidRDefault="00864FC9" w:rsidP="007F71BC">
            <w:pPr>
              <w:spacing w:after="0"/>
              <w:jc w:val="right"/>
              <w:rPr>
                <w:rFonts w:ascii="Arial" w:hAnsi="Arial" w:cs="Arial"/>
                <w:szCs w:val="24"/>
                <w:lang w:val="en-GB" w:eastAsia="en-GB"/>
              </w:rPr>
            </w:pPr>
            <w:r w:rsidRPr="00864FC9">
              <w:rPr>
                <w:rFonts w:ascii="Arial" w:hAnsi="Arial" w:cs="Arial"/>
                <w:szCs w:val="24"/>
                <w:lang w:val="en-GB" w:eastAsia="en-GB"/>
              </w:rPr>
              <w:t>1.9%</w:t>
            </w:r>
          </w:p>
        </w:tc>
      </w:tr>
    </w:tbl>
    <w:p w14:paraId="7E9A38A9" w14:textId="77777777" w:rsidR="00B80DF3" w:rsidRPr="00AA7BCF" w:rsidRDefault="00B80DF3" w:rsidP="00B80DF3">
      <w:pPr>
        <w:pStyle w:val="Heading2"/>
        <w:keepNext w:val="0"/>
        <w:numPr>
          <w:ilvl w:val="0"/>
          <w:numId w:val="0"/>
        </w:numPr>
        <w:spacing w:after="0"/>
        <w:ind w:left="426"/>
        <w:jc w:val="left"/>
        <w:rPr>
          <w:rStyle w:val="normaltextrun"/>
          <w:rFonts w:ascii="Arial" w:hAnsi="Arial" w:cs="Arial"/>
          <w:color w:val="FF0000"/>
        </w:rPr>
      </w:pPr>
    </w:p>
    <w:p w14:paraId="3177448A" w14:textId="2E5CFE6B" w:rsidR="005A1439" w:rsidRDefault="009E5690" w:rsidP="005A1439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Style w:val="normaltextrun"/>
          <w:rFonts w:ascii="Arial" w:hAnsi="Arial" w:cs="Arial"/>
        </w:rPr>
      </w:pPr>
      <w:r w:rsidRPr="00227B02">
        <w:rPr>
          <w:rStyle w:val="normaltextrun"/>
          <w:rFonts w:ascii="Arial" w:hAnsi="Arial" w:cs="Arial"/>
        </w:rPr>
        <w:t>The</w:t>
      </w:r>
      <w:r w:rsidR="00A007EC" w:rsidRPr="00227B02">
        <w:rPr>
          <w:rStyle w:val="normaltextrun"/>
          <w:rFonts w:ascii="Arial" w:hAnsi="Arial" w:cs="Arial"/>
        </w:rPr>
        <w:t>re has been a continued increase in demand for independent places</w:t>
      </w:r>
      <w:r w:rsidR="00120C65" w:rsidRPr="00227B02">
        <w:rPr>
          <w:rStyle w:val="normaltextrun"/>
          <w:rFonts w:ascii="Arial" w:hAnsi="Arial" w:cs="Arial"/>
        </w:rPr>
        <w:t xml:space="preserve">, as </w:t>
      </w:r>
      <w:r w:rsidR="003B59B7" w:rsidRPr="00227B02">
        <w:rPr>
          <w:rStyle w:val="normaltextrun"/>
          <w:rFonts w:ascii="Arial" w:hAnsi="Arial" w:cs="Arial"/>
        </w:rPr>
        <w:t xml:space="preserve">due to the significant </w:t>
      </w:r>
      <w:r w:rsidR="009F066D" w:rsidRPr="00227B02">
        <w:rPr>
          <w:rStyle w:val="normaltextrun"/>
          <w:rFonts w:ascii="Arial" w:hAnsi="Arial" w:cs="Arial"/>
        </w:rPr>
        <w:t xml:space="preserve">rise in </w:t>
      </w:r>
      <w:r w:rsidR="0024446E" w:rsidRPr="00227B02">
        <w:rPr>
          <w:rStyle w:val="normaltextrun"/>
          <w:rFonts w:ascii="Arial" w:hAnsi="Arial" w:cs="Arial"/>
        </w:rPr>
        <w:t>EHCP’s and increasing complexity of need</w:t>
      </w:r>
      <w:r w:rsidR="0046354E">
        <w:rPr>
          <w:rStyle w:val="normaltextrun"/>
          <w:rFonts w:ascii="Arial" w:hAnsi="Arial" w:cs="Arial"/>
        </w:rPr>
        <w:t>,</w:t>
      </w:r>
      <w:r w:rsidR="0024446E" w:rsidRPr="00227B02">
        <w:rPr>
          <w:rStyle w:val="normaltextrun"/>
          <w:rFonts w:ascii="Arial" w:hAnsi="Arial" w:cs="Arial"/>
        </w:rPr>
        <w:t xml:space="preserve"> </w:t>
      </w:r>
      <w:r w:rsidR="00120C65" w:rsidRPr="00227B02">
        <w:rPr>
          <w:rStyle w:val="normaltextrun"/>
          <w:rFonts w:ascii="Arial" w:hAnsi="Arial" w:cs="Arial"/>
        </w:rPr>
        <w:t xml:space="preserve">it </w:t>
      </w:r>
      <w:r w:rsidR="00413C46" w:rsidRPr="00227B02">
        <w:rPr>
          <w:rStyle w:val="normaltextrun"/>
          <w:rFonts w:ascii="Arial" w:hAnsi="Arial" w:cs="Arial"/>
        </w:rPr>
        <w:t>ha</w:t>
      </w:r>
      <w:r w:rsidR="00120C65" w:rsidRPr="00227B02">
        <w:rPr>
          <w:rStyle w:val="normaltextrun"/>
          <w:rFonts w:ascii="Arial" w:hAnsi="Arial" w:cs="Arial"/>
        </w:rPr>
        <w:t>s not possible to accommodate all pupils with an EHCP in a maintained school placement.</w:t>
      </w:r>
      <w:r w:rsidR="004A27B3" w:rsidRPr="00227B02">
        <w:rPr>
          <w:rStyle w:val="normaltextrun"/>
          <w:rFonts w:ascii="Arial" w:hAnsi="Arial" w:cs="Arial"/>
        </w:rPr>
        <w:t xml:space="preserve"> </w:t>
      </w:r>
    </w:p>
    <w:p w14:paraId="48C0C8BF" w14:textId="542CF812" w:rsidR="00747D49" w:rsidRPr="00747D49" w:rsidRDefault="00AA0C78" w:rsidP="00747D49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The</w:t>
      </w:r>
      <w:r w:rsidR="00AA1F47">
        <w:rPr>
          <w:rStyle w:val="normaltextrun"/>
          <w:rFonts w:ascii="Arial" w:hAnsi="Arial" w:cs="Arial"/>
        </w:rPr>
        <w:t xml:space="preserve"> average cost of </w:t>
      </w:r>
      <w:r w:rsidR="00CE51A3">
        <w:rPr>
          <w:rStyle w:val="normaltextrun"/>
          <w:rFonts w:ascii="Arial" w:hAnsi="Arial" w:cs="Arial"/>
        </w:rPr>
        <w:t xml:space="preserve">SEN SPI </w:t>
      </w:r>
      <w:r w:rsidR="00050009">
        <w:rPr>
          <w:rStyle w:val="normaltextrun"/>
          <w:rFonts w:ascii="Arial" w:hAnsi="Arial" w:cs="Arial"/>
        </w:rPr>
        <w:t xml:space="preserve">placements has reduced </w:t>
      </w:r>
      <w:r w:rsidR="00123C3F">
        <w:rPr>
          <w:rStyle w:val="normaltextrun"/>
          <w:rFonts w:ascii="Arial" w:hAnsi="Arial" w:cs="Arial"/>
        </w:rPr>
        <w:t>following</w:t>
      </w:r>
      <w:r>
        <w:rPr>
          <w:rStyle w:val="normaltextrun"/>
          <w:rFonts w:ascii="Arial" w:hAnsi="Arial" w:cs="Arial"/>
        </w:rPr>
        <w:t xml:space="preserve"> significant growth in the number of lower cost SPI places</w:t>
      </w:r>
      <w:r w:rsidR="003568BB">
        <w:rPr>
          <w:rStyle w:val="normaltextrun"/>
          <w:rFonts w:ascii="Arial" w:hAnsi="Arial" w:cs="Arial"/>
        </w:rPr>
        <w:t>.</w:t>
      </w:r>
    </w:p>
    <w:p w14:paraId="13E6E11B" w14:textId="420C9B22" w:rsidR="00BC66B1" w:rsidRPr="001F2B5C" w:rsidRDefault="00BC66B1" w:rsidP="00BC66B1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Style w:val="normaltextrun"/>
          <w:rFonts w:ascii="Arial" w:hAnsi="Arial" w:cs="Arial"/>
        </w:rPr>
      </w:pPr>
      <w:r w:rsidRPr="001F2B5C">
        <w:rPr>
          <w:rStyle w:val="normaltextrun"/>
          <w:rFonts w:ascii="Arial" w:hAnsi="Arial" w:cs="Arial"/>
        </w:rPr>
        <w:t xml:space="preserve">The </w:t>
      </w:r>
      <w:r w:rsidR="00930786" w:rsidRPr="001F2B5C">
        <w:rPr>
          <w:rStyle w:val="normaltextrun"/>
          <w:rFonts w:ascii="Arial" w:hAnsi="Arial" w:cs="Arial"/>
        </w:rPr>
        <w:t xml:space="preserve">other </w:t>
      </w:r>
      <w:r w:rsidRPr="001F2B5C">
        <w:rPr>
          <w:rStyle w:val="normaltextrun"/>
          <w:rFonts w:ascii="Arial" w:hAnsi="Arial" w:cs="Arial"/>
        </w:rPr>
        <w:t xml:space="preserve">main pressure </w:t>
      </w:r>
      <w:r w:rsidR="0046354E">
        <w:rPr>
          <w:rStyle w:val="normaltextrun"/>
          <w:rFonts w:ascii="Arial" w:hAnsi="Arial" w:cs="Arial"/>
        </w:rPr>
        <w:t>relates to</w:t>
      </w:r>
      <w:r w:rsidRPr="001F2B5C">
        <w:rPr>
          <w:rStyle w:val="normaltextrun"/>
          <w:rFonts w:ascii="Arial" w:hAnsi="Arial" w:cs="Arial"/>
        </w:rPr>
        <w:t xml:space="preserve"> the top-up funding budgets, with an overall pressure on maintained top-up funding of £</w:t>
      </w:r>
      <w:r w:rsidR="00A64B4D" w:rsidRPr="001F2B5C">
        <w:rPr>
          <w:rStyle w:val="normaltextrun"/>
          <w:rFonts w:ascii="Arial" w:hAnsi="Arial" w:cs="Arial"/>
        </w:rPr>
        <w:t>10.0</w:t>
      </w:r>
      <w:r w:rsidRPr="001F2B5C">
        <w:rPr>
          <w:rStyle w:val="normaltextrun"/>
          <w:rFonts w:ascii="Arial" w:hAnsi="Arial" w:cs="Arial"/>
        </w:rPr>
        <w:t xml:space="preserve">m. </w:t>
      </w:r>
      <w:r w:rsidR="00047CE1" w:rsidRPr="001F2B5C">
        <w:rPr>
          <w:rStyle w:val="normaltextrun"/>
          <w:rFonts w:ascii="Arial" w:hAnsi="Arial" w:cs="Arial"/>
        </w:rPr>
        <w:t>Not a</w:t>
      </w:r>
      <w:r w:rsidRPr="001F2B5C">
        <w:rPr>
          <w:rStyle w:val="normaltextrun"/>
          <w:rFonts w:ascii="Arial" w:hAnsi="Arial" w:cs="Arial"/>
        </w:rPr>
        <w:t>ll budgets within this group are showing a pressure</w:t>
      </w:r>
      <w:r w:rsidR="003003B5" w:rsidRPr="001F2B5C">
        <w:rPr>
          <w:rStyle w:val="normaltextrun"/>
          <w:rFonts w:ascii="Arial" w:hAnsi="Arial" w:cs="Arial"/>
        </w:rPr>
        <w:t>, however</w:t>
      </w:r>
      <w:r w:rsidRPr="001F2B5C">
        <w:rPr>
          <w:rStyle w:val="normaltextrun"/>
          <w:rFonts w:ascii="Arial" w:hAnsi="Arial" w:cs="Arial"/>
        </w:rPr>
        <w:t xml:space="preserve">, </w:t>
      </w:r>
      <w:r w:rsidR="00524E4A" w:rsidRPr="001F2B5C">
        <w:rPr>
          <w:rStyle w:val="normaltextrun"/>
          <w:rFonts w:ascii="Arial" w:hAnsi="Arial" w:cs="Arial"/>
        </w:rPr>
        <w:t xml:space="preserve">and </w:t>
      </w:r>
      <w:r w:rsidRPr="001F2B5C">
        <w:rPr>
          <w:rStyle w:val="normaltextrun"/>
          <w:rFonts w:ascii="Arial" w:hAnsi="Arial" w:cs="Arial"/>
        </w:rPr>
        <w:t xml:space="preserve">the most significant </w:t>
      </w:r>
      <w:r w:rsidR="00BC4E43" w:rsidRPr="001F2B5C">
        <w:rPr>
          <w:rStyle w:val="normaltextrun"/>
          <w:rFonts w:ascii="Arial" w:hAnsi="Arial" w:cs="Arial"/>
        </w:rPr>
        <w:t>variances</w:t>
      </w:r>
      <w:r w:rsidRPr="001F2B5C">
        <w:rPr>
          <w:rStyle w:val="normaltextrun"/>
          <w:rFonts w:ascii="Arial" w:hAnsi="Arial" w:cs="Arial"/>
        </w:rPr>
        <w:t xml:space="preserve"> are:</w:t>
      </w:r>
    </w:p>
    <w:p w14:paraId="44BD67A8" w14:textId="5972BB9A" w:rsidR="00D56581" w:rsidRPr="00D56581" w:rsidRDefault="00BC66B1" w:rsidP="00D56581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</w:rPr>
      </w:pPr>
      <w:r w:rsidRPr="00C42417">
        <w:rPr>
          <w:rStyle w:val="normaltextrun"/>
          <w:rFonts w:ascii="Arial" w:hAnsi="Arial" w:cs="Arial"/>
          <w:b/>
        </w:rPr>
        <w:t xml:space="preserve">Special </w:t>
      </w:r>
      <w:r w:rsidR="00983E8D">
        <w:rPr>
          <w:rStyle w:val="normaltextrun"/>
          <w:rFonts w:ascii="Arial" w:hAnsi="Arial" w:cs="Arial"/>
          <w:b/>
          <w:bCs/>
        </w:rPr>
        <w:t>S</w:t>
      </w:r>
      <w:r w:rsidRPr="00C42417">
        <w:rPr>
          <w:rStyle w:val="normaltextrun"/>
          <w:rFonts w:ascii="Arial" w:hAnsi="Arial" w:cs="Arial"/>
          <w:b/>
          <w:bCs/>
        </w:rPr>
        <w:t>chool</w:t>
      </w:r>
      <w:r w:rsidRPr="00C42417">
        <w:rPr>
          <w:rStyle w:val="normaltextrun"/>
          <w:rFonts w:ascii="Arial" w:hAnsi="Arial" w:cs="Arial"/>
          <w:b/>
        </w:rPr>
        <w:t xml:space="preserve"> top-up:</w:t>
      </w:r>
      <w:r w:rsidR="00337F40">
        <w:rPr>
          <w:rStyle w:val="normaltextrun"/>
          <w:rFonts w:ascii="Arial" w:hAnsi="Arial" w:cs="Arial"/>
          <w:b/>
        </w:rPr>
        <w:t xml:space="preserve">  </w:t>
      </w:r>
      <w:r w:rsidR="00493260" w:rsidRPr="00DC3162">
        <w:rPr>
          <w:rStyle w:val="normaltextrun"/>
          <w:rFonts w:ascii="Arial" w:hAnsi="Arial" w:cs="Arial"/>
          <w:bCs/>
        </w:rPr>
        <w:t xml:space="preserve">Following a significant pressure showing on this budget </w:t>
      </w:r>
      <w:r w:rsidR="00B77DEF" w:rsidRPr="00DC3162">
        <w:rPr>
          <w:rStyle w:val="normaltextrun"/>
          <w:rFonts w:ascii="Arial" w:hAnsi="Arial" w:cs="Arial"/>
          <w:bCs/>
        </w:rPr>
        <w:t>in 2021/22</w:t>
      </w:r>
      <w:r w:rsidR="0046354E">
        <w:rPr>
          <w:rStyle w:val="normaltextrun"/>
          <w:rFonts w:ascii="Arial" w:hAnsi="Arial" w:cs="Arial"/>
          <w:bCs/>
        </w:rPr>
        <w:t>,</w:t>
      </w:r>
      <w:r w:rsidR="00B77DEF" w:rsidRPr="00DC3162">
        <w:rPr>
          <w:rStyle w:val="normaltextrun"/>
          <w:rFonts w:ascii="Arial" w:hAnsi="Arial" w:cs="Arial"/>
          <w:bCs/>
        </w:rPr>
        <w:t xml:space="preserve"> </w:t>
      </w:r>
      <w:r w:rsidR="006807EF" w:rsidRPr="00DC3162">
        <w:rPr>
          <w:rStyle w:val="normaltextrun"/>
          <w:rFonts w:ascii="Arial" w:hAnsi="Arial" w:cs="Arial"/>
          <w:bCs/>
        </w:rPr>
        <w:t>a £4.</w:t>
      </w:r>
      <w:r w:rsidR="00832CE5" w:rsidRPr="00DC3162">
        <w:rPr>
          <w:rStyle w:val="normaltextrun"/>
          <w:rFonts w:ascii="Arial" w:hAnsi="Arial" w:cs="Arial"/>
          <w:bCs/>
        </w:rPr>
        <w:t xml:space="preserve">04m </w:t>
      </w:r>
      <w:r w:rsidR="00A21F97" w:rsidRPr="00DC3162">
        <w:rPr>
          <w:rFonts w:ascii="Arial" w:hAnsi="Arial" w:cs="Arial"/>
          <w:bCs/>
          <w:szCs w:val="24"/>
        </w:rPr>
        <w:t xml:space="preserve">increase </w:t>
      </w:r>
      <w:r w:rsidR="00634D83" w:rsidRPr="00DC3162">
        <w:rPr>
          <w:rFonts w:ascii="Arial" w:hAnsi="Arial" w:cs="Arial"/>
          <w:bCs/>
          <w:szCs w:val="24"/>
        </w:rPr>
        <w:t>was allocated in 2022/23</w:t>
      </w:r>
      <w:r w:rsidR="00423FEA" w:rsidRPr="00DC3162">
        <w:rPr>
          <w:rFonts w:ascii="Arial" w:hAnsi="Arial" w:cs="Arial"/>
          <w:bCs/>
          <w:szCs w:val="24"/>
        </w:rPr>
        <w:t xml:space="preserve">.  The outturn position shows a </w:t>
      </w:r>
      <w:r w:rsidR="00650984" w:rsidRPr="00DC3162">
        <w:rPr>
          <w:rFonts w:ascii="Arial" w:hAnsi="Arial" w:cs="Arial"/>
          <w:bCs/>
          <w:szCs w:val="24"/>
        </w:rPr>
        <w:t xml:space="preserve">small underspend </w:t>
      </w:r>
      <w:r w:rsidR="0072443B">
        <w:rPr>
          <w:rFonts w:ascii="Arial" w:hAnsi="Arial" w:cs="Arial"/>
          <w:bCs/>
          <w:szCs w:val="24"/>
        </w:rPr>
        <w:t>on the expected growth</w:t>
      </w:r>
      <w:r w:rsidR="0046354E">
        <w:rPr>
          <w:rFonts w:ascii="Arial" w:hAnsi="Arial" w:cs="Arial"/>
          <w:bCs/>
          <w:szCs w:val="24"/>
        </w:rPr>
        <w:t>,</w:t>
      </w:r>
      <w:r w:rsidR="0072443B">
        <w:rPr>
          <w:rFonts w:ascii="Arial" w:hAnsi="Arial" w:cs="Arial"/>
          <w:bCs/>
          <w:szCs w:val="24"/>
        </w:rPr>
        <w:t xml:space="preserve"> </w:t>
      </w:r>
      <w:r w:rsidR="00477ED5" w:rsidRPr="00DC3162">
        <w:rPr>
          <w:rFonts w:ascii="Arial" w:hAnsi="Arial" w:cs="Arial"/>
          <w:bCs/>
          <w:szCs w:val="24"/>
        </w:rPr>
        <w:t>however</w:t>
      </w:r>
      <w:r w:rsidR="00216F03">
        <w:rPr>
          <w:rFonts w:ascii="Arial" w:hAnsi="Arial" w:cs="Arial"/>
          <w:bCs/>
          <w:szCs w:val="24"/>
        </w:rPr>
        <w:t>,</w:t>
      </w:r>
      <w:r w:rsidR="00477ED5" w:rsidRPr="00DC3162">
        <w:rPr>
          <w:rFonts w:ascii="Arial" w:hAnsi="Arial" w:cs="Arial"/>
          <w:bCs/>
          <w:szCs w:val="24"/>
        </w:rPr>
        <w:t xml:space="preserve"> </w:t>
      </w:r>
      <w:r w:rsidR="004A3C44" w:rsidRPr="00DC3162">
        <w:rPr>
          <w:rFonts w:ascii="Arial" w:hAnsi="Arial" w:cs="Arial"/>
          <w:bCs/>
          <w:szCs w:val="24"/>
        </w:rPr>
        <w:t>there remains</w:t>
      </w:r>
      <w:r w:rsidRPr="00DC3162">
        <w:rPr>
          <w:rFonts w:ascii="Arial" w:hAnsi="Arial" w:cs="Arial"/>
          <w:bCs/>
          <w:szCs w:val="24"/>
        </w:rPr>
        <w:t xml:space="preserve"> a significant amount of over-occupancy funding</w:t>
      </w:r>
      <w:r w:rsidR="00743B09" w:rsidRPr="00DC3162">
        <w:rPr>
          <w:rFonts w:ascii="Arial" w:hAnsi="Arial" w:cs="Arial"/>
          <w:bCs/>
          <w:szCs w:val="24"/>
        </w:rPr>
        <w:t xml:space="preserve"> (£1.05m)</w:t>
      </w:r>
      <w:r w:rsidR="004A3C44" w:rsidRPr="00DC3162">
        <w:rPr>
          <w:rFonts w:ascii="Arial" w:hAnsi="Arial" w:cs="Arial"/>
          <w:bCs/>
          <w:szCs w:val="24"/>
        </w:rPr>
        <w:t xml:space="preserve"> and </w:t>
      </w:r>
      <w:r w:rsidR="00620466">
        <w:rPr>
          <w:rFonts w:ascii="Arial" w:hAnsi="Arial" w:cs="Arial"/>
          <w:bCs/>
          <w:szCs w:val="24"/>
        </w:rPr>
        <w:t xml:space="preserve">a continuation </w:t>
      </w:r>
      <w:r w:rsidR="000E650E">
        <w:rPr>
          <w:rFonts w:ascii="Arial" w:hAnsi="Arial" w:cs="Arial"/>
          <w:bCs/>
          <w:szCs w:val="24"/>
        </w:rPr>
        <w:t xml:space="preserve">of the </w:t>
      </w:r>
      <w:r w:rsidRPr="00DC3162">
        <w:rPr>
          <w:rFonts w:ascii="Arial" w:hAnsi="Arial" w:cs="Arial"/>
          <w:bCs/>
          <w:szCs w:val="24"/>
        </w:rPr>
        <w:t xml:space="preserve">year on year increases to </w:t>
      </w:r>
      <w:r w:rsidR="004D7119">
        <w:rPr>
          <w:rFonts w:ascii="Arial" w:hAnsi="Arial" w:cs="Arial"/>
          <w:bCs/>
          <w:szCs w:val="24"/>
        </w:rPr>
        <w:t xml:space="preserve">average </w:t>
      </w:r>
      <w:r w:rsidR="00216F03">
        <w:rPr>
          <w:rFonts w:ascii="Arial" w:hAnsi="Arial" w:cs="Arial"/>
          <w:bCs/>
          <w:szCs w:val="24"/>
        </w:rPr>
        <w:t xml:space="preserve">unit </w:t>
      </w:r>
      <w:r w:rsidR="004D7119">
        <w:rPr>
          <w:rFonts w:ascii="Arial" w:hAnsi="Arial" w:cs="Arial"/>
          <w:bCs/>
          <w:szCs w:val="24"/>
        </w:rPr>
        <w:t>cost</w:t>
      </w:r>
      <w:r w:rsidR="00216F03">
        <w:rPr>
          <w:rFonts w:ascii="Arial" w:hAnsi="Arial" w:cs="Arial"/>
          <w:bCs/>
          <w:szCs w:val="24"/>
        </w:rPr>
        <w:t>s</w:t>
      </w:r>
      <w:r w:rsidRPr="00DC3162">
        <w:rPr>
          <w:rFonts w:ascii="Arial" w:hAnsi="Arial" w:cs="Arial"/>
          <w:bCs/>
          <w:szCs w:val="24"/>
        </w:rPr>
        <w:t>.</w:t>
      </w:r>
      <w:r w:rsidR="00D56581" w:rsidRPr="00D56581">
        <w:rPr>
          <w:rStyle w:val="normaltextrun"/>
          <w:rFonts w:ascii="Arial" w:hAnsi="Arial" w:cs="Arial"/>
          <w:b/>
          <w:bCs/>
        </w:rPr>
        <w:t xml:space="preserve"> </w:t>
      </w:r>
    </w:p>
    <w:p w14:paraId="2FFF6127" w14:textId="4A83BEE9" w:rsidR="00825341" w:rsidRPr="00D56581" w:rsidRDefault="00825341" w:rsidP="00825341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Education </w:t>
      </w:r>
      <w:r w:rsidR="00983E8D">
        <w:rPr>
          <w:rStyle w:val="normaltextrun"/>
          <w:rFonts w:ascii="Arial" w:hAnsi="Arial" w:cs="Arial"/>
          <w:b/>
          <w:bCs/>
        </w:rPr>
        <w:t>C</w:t>
      </w:r>
      <w:r>
        <w:rPr>
          <w:rStyle w:val="normaltextrun"/>
          <w:rFonts w:ascii="Arial" w:hAnsi="Arial" w:cs="Arial"/>
          <w:b/>
          <w:bCs/>
        </w:rPr>
        <w:t>entre</w:t>
      </w:r>
      <w:r w:rsidRPr="001F2B5C">
        <w:rPr>
          <w:rStyle w:val="normaltextrun"/>
          <w:rFonts w:ascii="Arial" w:hAnsi="Arial" w:cs="Arial"/>
          <w:b/>
          <w:bCs/>
        </w:rPr>
        <w:t xml:space="preserve"> top-up:</w:t>
      </w:r>
      <w:r w:rsidRPr="001F2B5C">
        <w:rPr>
          <w:rStyle w:val="normaltextrun"/>
          <w:rFonts w:ascii="Arial" w:hAnsi="Arial" w:cs="Arial"/>
        </w:rPr>
        <w:t xml:space="preserve"> Spend has </w:t>
      </w:r>
      <w:r w:rsidR="00E62868">
        <w:rPr>
          <w:rStyle w:val="normaltextrun"/>
          <w:rFonts w:ascii="Arial" w:hAnsi="Arial" w:cs="Arial"/>
        </w:rPr>
        <w:t>decreased</w:t>
      </w:r>
      <w:r w:rsidRPr="001F2B5C">
        <w:rPr>
          <w:rStyle w:val="normaltextrun"/>
          <w:rFonts w:ascii="Arial" w:hAnsi="Arial" w:cs="Arial"/>
        </w:rPr>
        <w:t xml:space="preserve"> by </w:t>
      </w:r>
      <w:r w:rsidR="009B63D5">
        <w:rPr>
          <w:rStyle w:val="normaltextrun"/>
          <w:rFonts w:ascii="Arial" w:hAnsi="Arial" w:cs="Arial"/>
        </w:rPr>
        <w:t>8</w:t>
      </w:r>
      <w:r w:rsidRPr="001F2B5C">
        <w:rPr>
          <w:rStyle w:val="normaltextrun"/>
          <w:rFonts w:ascii="Arial" w:hAnsi="Arial" w:cs="Arial"/>
        </w:rPr>
        <w:t xml:space="preserve">% compared to the 2021/22 outturn, which is due to a </w:t>
      </w:r>
      <w:r w:rsidR="002A4FD9">
        <w:rPr>
          <w:rStyle w:val="normaltextrun"/>
          <w:rFonts w:ascii="Arial" w:hAnsi="Arial" w:cs="Arial"/>
        </w:rPr>
        <w:t xml:space="preserve">reduction in overall </w:t>
      </w:r>
      <w:r w:rsidR="00016E4E">
        <w:rPr>
          <w:rStyle w:val="normaltextrun"/>
          <w:rFonts w:ascii="Arial" w:hAnsi="Arial" w:cs="Arial"/>
        </w:rPr>
        <w:t>attendance</w:t>
      </w:r>
      <w:r w:rsidR="00E56874">
        <w:rPr>
          <w:rStyle w:val="normaltextrun"/>
          <w:rFonts w:ascii="Arial" w:hAnsi="Arial" w:cs="Arial"/>
        </w:rPr>
        <w:t>.</w:t>
      </w:r>
    </w:p>
    <w:p w14:paraId="1B568714" w14:textId="6A424AC2" w:rsidR="00BC66B1" w:rsidRPr="00D56581" w:rsidRDefault="00D56581" w:rsidP="00BC66B1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Fonts w:ascii="Arial" w:hAnsi="Arial" w:cs="Arial"/>
        </w:rPr>
      </w:pPr>
      <w:r w:rsidRPr="001F2B5C">
        <w:rPr>
          <w:rStyle w:val="normaltextrun"/>
          <w:rFonts w:ascii="Arial" w:hAnsi="Arial" w:cs="Arial"/>
          <w:b/>
          <w:bCs/>
        </w:rPr>
        <w:t xml:space="preserve">Mainstream </w:t>
      </w:r>
      <w:r w:rsidR="00983E8D">
        <w:rPr>
          <w:rStyle w:val="normaltextrun"/>
          <w:rFonts w:ascii="Arial" w:hAnsi="Arial" w:cs="Arial"/>
          <w:b/>
          <w:bCs/>
        </w:rPr>
        <w:t>S</w:t>
      </w:r>
      <w:r w:rsidRPr="001F2B5C">
        <w:rPr>
          <w:rStyle w:val="normaltextrun"/>
          <w:rFonts w:ascii="Arial" w:hAnsi="Arial" w:cs="Arial"/>
          <w:b/>
          <w:bCs/>
        </w:rPr>
        <w:t>chool top-up:</w:t>
      </w:r>
      <w:r w:rsidRPr="001F2B5C">
        <w:rPr>
          <w:rStyle w:val="normaltextrun"/>
          <w:rFonts w:ascii="Arial" w:hAnsi="Arial" w:cs="Arial"/>
        </w:rPr>
        <w:t xml:space="preserve"> Spend has increased by 24% compared to the 2021/22 outturn, which is due to a significant increase in EHCPs (29% in primary and 41% in secondary since 2021/22), partly offset by a reduction in the average top-up per pupil (8% in primary and 4% in secondary since 2021/22).</w:t>
      </w:r>
    </w:p>
    <w:p w14:paraId="270ECE3A" w14:textId="45416CD1" w:rsidR="00BC66B1" w:rsidRPr="00D6635E" w:rsidRDefault="00BC66B1" w:rsidP="00BC66B1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</w:rPr>
      </w:pPr>
      <w:r w:rsidRPr="00D6635E">
        <w:rPr>
          <w:rStyle w:val="normaltextrun"/>
          <w:rFonts w:ascii="Arial" w:hAnsi="Arial" w:cs="Arial"/>
          <w:b/>
        </w:rPr>
        <w:t>Post-16 top-up (FE Colleges):</w:t>
      </w:r>
      <w:r w:rsidR="009E4B39">
        <w:rPr>
          <w:rStyle w:val="normaltextrun"/>
          <w:rFonts w:ascii="Arial" w:hAnsi="Arial" w:cs="Arial"/>
          <w:b/>
        </w:rPr>
        <w:t xml:space="preserve"> </w:t>
      </w:r>
      <w:r w:rsidR="009E4B39" w:rsidRPr="00E278D9">
        <w:rPr>
          <w:rStyle w:val="normaltextrun"/>
          <w:rFonts w:ascii="Arial" w:hAnsi="Arial" w:cs="Arial"/>
          <w:bCs/>
        </w:rPr>
        <w:t>The forecast continuation of growth experienced in</w:t>
      </w:r>
      <w:r w:rsidR="009E4B39">
        <w:rPr>
          <w:rStyle w:val="normaltextrun"/>
          <w:rFonts w:ascii="Arial" w:hAnsi="Arial" w:cs="Arial"/>
          <w:b/>
        </w:rPr>
        <w:t xml:space="preserve"> </w:t>
      </w:r>
      <w:r w:rsidR="009A153D" w:rsidRPr="00D6635E">
        <w:rPr>
          <w:rStyle w:val="normaltextrun"/>
          <w:rFonts w:ascii="Arial" w:hAnsi="Arial" w:cs="Arial"/>
        </w:rPr>
        <w:t>previous years</w:t>
      </w:r>
      <w:r w:rsidR="00232F8D">
        <w:rPr>
          <w:rStyle w:val="normaltextrun"/>
          <w:rFonts w:ascii="Arial" w:hAnsi="Arial" w:cs="Arial"/>
        </w:rPr>
        <w:t xml:space="preserve"> </w:t>
      </w:r>
      <w:r w:rsidR="00C16A0A">
        <w:rPr>
          <w:rStyle w:val="normaltextrun"/>
          <w:rFonts w:ascii="Arial" w:hAnsi="Arial" w:cs="Arial"/>
        </w:rPr>
        <w:t xml:space="preserve">did not </w:t>
      </w:r>
      <w:r w:rsidR="00F74D9F">
        <w:rPr>
          <w:rStyle w:val="normaltextrun"/>
          <w:rFonts w:ascii="Arial" w:hAnsi="Arial" w:cs="Arial"/>
        </w:rPr>
        <w:t xml:space="preserve">emerge </w:t>
      </w:r>
      <w:r w:rsidR="00C65BE7">
        <w:rPr>
          <w:rStyle w:val="normaltextrun"/>
          <w:rFonts w:ascii="Arial" w:hAnsi="Arial" w:cs="Arial"/>
        </w:rPr>
        <w:t xml:space="preserve">in 2022/23 </w:t>
      </w:r>
      <w:r w:rsidR="00ED376F" w:rsidRPr="00D6635E">
        <w:rPr>
          <w:rStyle w:val="normaltextrun"/>
          <w:rFonts w:ascii="Arial" w:hAnsi="Arial" w:cs="Arial"/>
        </w:rPr>
        <w:t xml:space="preserve">with overall numbers </w:t>
      </w:r>
      <w:r w:rsidR="004F7BEC" w:rsidRPr="00D6635E">
        <w:rPr>
          <w:rStyle w:val="normaltextrun"/>
          <w:rFonts w:ascii="Arial" w:hAnsi="Arial" w:cs="Arial"/>
        </w:rPr>
        <w:t>of students</w:t>
      </w:r>
      <w:r w:rsidR="00724932" w:rsidRPr="00D6635E">
        <w:rPr>
          <w:rStyle w:val="normaltextrun"/>
          <w:rFonts w:ascii="Arial" w:hAnsi="Arial" w:cs="Arial"/>
        </w:rPr>
        <w:t xml:space="preserve"> </w:t>
      </w:r>
      <w:r w:rsidR="00487FED" w:rsidRPr="00D6635E">
        <w:rPr>
          <w:rStyle w:val="normaltextrun"/>
          <w:rFonts w:ascii="Arial" w:hAnsi="Arial" w:cs="Arial"/>
        </w:rPr>
        <w:t>attracting top-up funding falling by 1</w:t>
      </w:r>
      <w:r w:rsidR="00476CE4" w:rsidRPr="00D6635E">
        <w:rPr>
          <w:rStyle w:val="normaltextrun"/>
          <w:rFonts w:ascii="Arial" w:hAnsi="Arial" w:cs="Arial"/>
        </w:rPr>
        <w:t xml:space="preserve">.5% </w:t>
      </w:r>
      <w:r w:rsidR="002D6F61" w:rsidRPr="00D6635E">
        <w:rPr>
          <w:rStyle w:val="normaltextrun"/>
          <w:rFonts w:ascii="Arial" w:hAnsi="Arial" w:cs="Arial"/>
        </w:rPr>
        <w:t>to 1,130</w:t>
      </w:r>
      <w:r w:rsidR="00E65C02">
        <w:rPr>
          <w:rStyle w:val="normaltextrun"/>
          <w:rFonts w:ascii="Arial" w:hAnsi="Arial" w:cs="Arial"/>
        </w:rPr>
        <w:t xml:space="preserve"> and th</w:t>
      </w:r>
      <w:r w:rsidR="00A845C7" w:rsidRPr="00D6635E">
        <w:rPr>
          <w:rStyle w:val="normaltextrun"/>
          <w:rFonts w:ascii="Arial" w:hAnsi="Arial" w:cs="Arial"/>
        </w:rPr>
        <w:t xml:space="preserve">e average top-up rate </w:t>
      </w:r>
      <w:r w:rsidR="000E02A2">
        <w:rPr>
          <w:rStyle w:val="normaltextrun"/>
          <w:rFonts w:ascii="Arial" w:hAnsi="Arial" w:cs="Arial"/>
        </w:rPr>
        <w:t>falling</w:t>
      </w:r>
      <w:r w:rsidR="00A845C7" w:rsidRPr="00D6635E">
        <w:rPr>
          <w:rStyle w:val="normaltextrun"/>
          <w:rFonts w:ascii="Arial" w:hAnsi="Arial" w:cs="Arial"/>
        </w:rPr>
        <w:t xml:space="preserve"> by 5%</w:t>
      </w:r>
      <w:r w:rsidRPr="00D6635E">
        <w:rPr>
          <w:rStyle w:val="normaltextrun"/>
          <w:rFonts w:ascii="Arial" w:hAnsi="Arial" w:cs="Arial"/>
        </w:rPr>
        <w:t>.</w:t>
      </w:r>
      <w:r w:rsidR="00C03623" w:rsidRPr="00D6635E">
        <w:rPr>
          <w:rStyle w:val="normaltextrun"/>
          <w:rFonts w:ascii="Arial" w:hAnsi="Arial" w:cs="Arial"/>
        </w:rPr>
        <w:t xml:space="preserve"> </w:t>
      </w:r>
      <w:r w:rsidR="00D4086A">
        <w:rPr>
          <w:rStyle w:val="normaltextrun"/>
          <w:rFonts w:ascii="Arial" w:hAnsi="Arial" w:cs="Arial"/>
        </w:rPr>
        <w:t>F</w:t>
      </w:r>
      <w:r w:rsidR="00F742D1">
        <w:rPr>
          <w:rStyle w:val="normaltextrun"/>
          <w:rFonts w:ascii="Arial" w:hAnsi="Arial" w:cs="Arial"/>
        </w:rPr>
        <w:t>unding</w:t>
      </w:r>
      <w:r w:rsidR="00386BE9" w:rsidRPr="00D6635E">
        <w:rPr>
          <w:rStyle w:val="normaltextrun"/>
          <w:rFonts w:ascii="Arial" w:hAnsi="Arial" w:cs="Arial"/>
        </w:rPr>
        <w:t xml:space="preserve"> costs </w:t>
      </w:r>
      <w:r w:rsidR="00F742D1">
        <w:rPr>
          <w:rStyle w:val="normaltextrun"/>
          <w:rFonts w:ascii="Arial" w:hAnsi="Arial" w:cs="Arial"/>
        </w:rPr>
        <w:t>relating to</w:t>
      </w:r>
      <w:r w:rsidR="00226A58" w:rsidRPr="00D6635E">
        <w:rPr>
          <w:rStyle w:val="normaltextrun"/>
          <w:rFonts w:ascii="Arial" w:hAnsi="Arial" w:cs="Arial"/>
        </w:rPr>
        <w:t xml:space="preserve"> the employability and independence hubs </w:t>
      </w:r>
      <w:r w:rsidR="00D4086A">
        <w:rPr>
          <w:rStyle w:val="normaltextrun"/>
          <w:rFonts w:ascii="Arial" w:hAnsi="Arial" w:cs="Arial"/>
        </w:rPr>
        <w:t xml:space="preserve">were also lower than </w:t>
      </w:r>
      <w:r w:rsidR="00D4086A">
        <w:rPr>
          <w:rStyle w:val="normaltextrun"/>
          <w:rFonts w:ascii="Arial" w:hAnsi="Arial" w:cs="Arial"/>
        </w:rPr>
        <w:lastRenderedPageBreak/>
        <w:t xml:space="preserve">expected </w:t>
      </w:r>
      <w:r w:rsidR="00226A58" w:rsidRPr="00D6635E">
        <w:rPr>
          <w:rStyle w:val="normaltextrun"/>
          <w:rFonts w:ascii="Arial" w:hAnsi="Arial" w:cs="Arial"/>
        </w:rPr>
        <w:t xml:space="preserve">due to </w:t>
      </w:r>
      <w:r w:rsidR="00DA23F4" w:rsidRPr="00D6635E">
        <w:rPr>
          <w:rStyle w:val="normaltextrun"/>
          <w:rFonts w:ascii="Arial" w:hAnsi="Arial" w:cs="Arial"/>
        </w:rPr>
        <w:t>lower pupil numb</w:t>
      </w:r>
      <w:r w:rsidR="00A644C0">
        <w:rPr>
          <w:rStyle w:val="normaltextrun"/>
          <w:rFonts w:ascii="Arial" w:hAnsi="Arial" w:cs="Arial"/>
        </w:rPr>
        <w:t>er</w:t>
      </w:r>
      <w:r w:rsidR="00DA23F4" w:rsidRPr="00D6635E">
        <w:rPr>
          <w:rStyle w:val="normaltextrun"/>
          <w:rFonts w:ascii="Arial" w:hAnsi="Arial" w:cs="Arial"/>
        </w:rPr>
        <w:t xml:space="preserve">s </w:t>
      </w:r>
      <w:r w:rsidR="00A644C0">
        <w:rPr>
          <w:rStyle w:val="normaltextrun"/>
          <w:rFonts w:ascii="Arial" w:hAnsi="Arial" w:cs="Arial"/>
        </w:rPr>
        <w:t>for</w:t>
      </w:r>
      <w:r w:rsidR="00DA23F4" w:rsidRPr="00D6635E">
        <w:rPr>
          <w:rStyle w:val="normaltextrun"/>
          <w:rFonts w:ascii="Arial" w:hAnsi="Arial" w:cs="Arial"/>
        </w:rPr>
        <w:t xml:space="preserve"> the former and delayed development costs for the latter. </w:t>
      </w:r>
    </w:p>
    <w:p w14:paraId="788F52D8" w14:textId="4DD10F54" w:rsidR="00B45291" w:rsidRPr="00B45291" w:rsidRDefault="00DE1912" w:rsidP="00BC66B1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  <w:b/>
          <w:bCs/>
        </w:rPr>
      </w:pPr>
      <w:r w:rsidRPr="00B45291">
        <w:rPr>
          <w:rStyle w:val="normaltextrun"/>
          <w:rFonts w:ascii="Arial" w:hAnsi="Arial" w:cs="Arial"/>
          <w:b/>
          <w:bCs/>
        </w:rPr>
        <w:t>Pupils in OLA Schools top-up</w:t>
      </w:r>
      <w:r w:rsidR="00B112EB">
        <w:rPr>
          <w:rStyle w:val="normaltextrun"/>
          <w:rFonts w:ascii="Arial" w:hAnsi="Arial" w:cs="Arial"/>
          <w:b/>
          <w:bCs/>
        </w:rPr>
        <w:t>:</w:t>
      </w:r>
      <w:r w:rsidRPr="00B45291">
        <w:rPr>
          <w:rStyle w:val="normaltextrun"/>
          <w:rFonts w:ascii="Arial" w:hAnsi="Arial" w:cs="Arial"/>
          <w:b/>
          <w:bCs/>
        </w:rPr>
        <w:t xml:space="preserve"> </w:t>
      </w:r>
      <w:r w:rsidR="0013754C" w:rsidRPr="00D6635E">
        <w:rPr>
          <w:rStyle w:val="normaltextrun"/>
          <w:rFonts w:ascii="Arial" w:hAnsi="Arial" w:cs="Arial"/>
        </w:rPr>
        <w:t xml:space="preserve">There has been a 21% increase in costs </w:t>
      </w:r>
      <w:r w:rsidR="00963B1B" w:rsidRPr="00D6635E">
        <w:rPr>
          <w:rStyle w:val="normaltextrun"/>
          <w:rFonts w:ascii="Arial" w:hAnsi="Arial" w:cs="Arial"/>
        </w:rPr>
        <w:t>since 2021/22 which is due to</w:t>
      </w:r>
      <w:r w:rsidR="00890D50" w:rsidRPr="00D6635E">
        <w:rPr>
          <w:rStyle w:val="normaltextrun"/>
          <w:rFonts w:ascii="Arial" w:hAnsi="Arial" w:cs="Arial"/>
        </w:rPr>
        <w:t xml:space="preserve"> an increase in pupils</w:t>
      </w:r>
      <w:r w:rsidR="00852DCB" w:rsidRPr="00D6635E">
        <w:rPr>
          <w:rStyle w:val="normaltextrun"/>
          <w:rFonts w:ascii="Arial" w:hAnsi="Arial" w:cs="Arial"/>
        </w:rPr>
        <w:t xml:space="preserve"> (386 in March 2023 compared with </w:t>
      </w:r>
      <w:r w:rsidR="003D7604" w:rsidRPr="00D6635E">
        <w:rPr>
          <w:rStyle w:val="normaltextrun"/>
          <w:rFonts w:ascii="Arial" w:hAnsi="Arial" w:cs="Arial"/>
        </w:rPr>
        <w:t>347 in March 2022</w:t>
      </w:r>
      <w:r w:rsidR="00952AAC" w:rsidRPr="00D6635E">
        <w:rPr>
          <w:rStyle w:val="normaltextrun"/>
          <w:rFonts w:ascii="Arial" w:hAnsi="Arial" w:cs="Arial"/>
        </w:rPr>
        <w:t xml:space="preserve">) and </w:t>
      </w:r>
      <w:r w:rsidR="003624F5">
        <w:rPr>
          <w:rStyle w:val="normaltextrun"/>
          <w:rFonts w:ascii="Arial" w:hAnsi="Arial" w:cs="Arial"/>
        </w:rPr>
        <w:t>a</w:t>
      </w:r>
      <w:r w:rsidR="00952AAC" w:rsidRPr="00D6635E">
        <w:rPr>
          <w:rStyle w:val="normaltextrun"/>
          <w:rFonts w:ascii="Arial" w:hAnsi="Arial" w:cs="Arial"/>
        </w:rPr>
        <w:t xml:space="preserve">n increase in </w:t>
      </w:r>
      <w:r w:rsidR="009B605A" w:rsidRPr="00D6635E">
        <w:rPr>
          <w:rStyle w:val="normaltextrun"/>
          <w:rFonts w:ascii="Arial" w:hAnsi="Arial" w:cs="Arial"/>
        </w:rPr>
        <w:t xml:space="preserve">the </w:t>
      </w:r>
      <w:r w:rsidR="00952AAC" w:rsidRPr="00D6635E">
        <w:rPr>
          <w:rStyle w:val="normaltextrun"/>
          <w:rFonts w:ascii="Arial" w:hAnsi="Arial" w:cs="Arial"/>
        </w:rPr>
        <w:t>average top up rate</w:t>
      </w:r>
      <w:r w:rsidR="00A25C1B" w:rsidRPr="00D6635E">
        <w:rPr>
          <w:rStyle w:val="normaltextrun"/>
          <w:rFonts w:ascii="Arial" w:hAnsi="Arial" w:cs="Arial"/>
        </w:rPr>
        <w:t xml:space="preserve"> </w:t>
      </w:r>
      <w:r w:rsidR="00117A28" w:rsidRPr="00D6635E">
        <w:rPr>
          <w:rStyle w:val="normaltextrun"/>
          <w:rFonts w:ascii="Arial" w:hAnsi="Arial" w:cs="Arial"/>
        </w:rPr>
        <w:t xml:space="preserve">to </w:t>
      </w:r>
      <w:r w:rsidR="00A0639C" w:rsidRPr="00D6635E">
        <w:rPr>
          <w:rStyle w:val="normaltextrun"/>
          <w:rFonts w:ascii="Arial" w:hAnsi="Arial" w:cs="Arial"/>
        </w:rPr>
        <w:t xml:space="preserve">around </w:t>
      </w:r>
      <w:r w:rsidR="00117A28" w:rsidRPr="00D6635E">
        <w:rPr>
          <w:rStyle w:val="normaltextrun"/>
          <w:rFonts w:ascii="Arial" w:hAnsi="Arial" w:cs="Arial"/>
        </w:rPr>
        <w:t>£12,900</w:t>
      </w:r>
      <w:r w:rsidR="003624F5">
        <w:rPr>
          <w:rStyle w:val="normaltextrun"/>
          <w:rFonts w:ascii="Arial" w:hAnsi="Arial" w:cs="Arial"/>
        </w:rPr>
        <w:t>,</w:t>
      </w:r>
      <w:r w:rsidR="00D6635E" w:rsidRPr="00D6635E">
        <w:rPr>
          <w:rStyle w:val="normaltextrun"/>
          <w:rFonts w:ascii="Arial" w:hAnsi="Arial" w:cs="Arial"/>
        </w:rPr>
        <w:t xml:space="preserve"> where previously this was £12,700</w:t>
      </w:r>
      <w:r w:rsidR="009B605A" w:rsidRPr="00D6635E">
        <w:rPr>
          <w:rStyle w:val="normaltextrun"/>
          <w:rFonts w:ascii="Arial" w:hAnsi="Arial" w:cs="Arial"/>
        </w:rPr>
        <w:t>.</w:t>
      </w:r>
    </w:p>
    <w:p w14:paraId="7E0A4A6D" w14:textId="14ACF766" w:rsidR="00BC66B1" w:rsidRPr="00D6635E" w:rsidRDefault="00BC66B1" w:rsidP="00BC66B1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</w:rPr>
      </w:pPr>
      <w:r w:rsidRPr="00D6635E">
        <w:rPr>
          <w:rStyle w:val="normaltextrun"/>
          <w:rFonts w:ascii="Arial" w:hAnsi="Arial" w:cs="Arial"/>
          <w:b/>
        </w:rPr>
        <w:t xml:space="preserve">Discretionary </w:t>
      </w:r>
      <w:r w:rsidR="00983E8D">
        <w:rPr>
          <w:rStyle w:val="normaltextrun"/>
          <w:rFonts w:ascii="Arial" w:hAnsi="Arial" w:cs="Arial"/>
          <w:b/>
          <w:bCs/>
        </w:rPr>
        <w:t>P</w:t>
      </w:r>
      <w:r w:rsidRPr="00D6635E">
        <w:rPr>
          <w:rStyle w:val="normaltextrun"/>
          <w:rFonts w:ascii="Arial" w:hAnsi="Arial" w:cs="Arial"/>
          <w:b/>
          <w:bCs/>
        </w:rPr>
        <w:t>ayments</w:t>
      </w:r>
      <w:r w:rsidRPr="00D6635E">
        <w:rPr>
          <w:rStyle w:val="normaltextrun"/>
          <w:rFonts w:ascii="Arial" w:hAnsi="Arial" w:cs="Arial"/>
          <w:b/>
        </w:rPr>
        <w:t>:</w:t>
      </w:r>
      <w:r w:rsidRPr="00D6635E">
        <w:rPr>
          <w:rStyle w:val="normaltextrun"/>
          <w:rFonts w:ascii="Arial" w:hAnsi="Arial" w:cs="Arial"/>
        </w:rPr>
        <w:t xml:space="preserve"> The increase in pupils with an EHCP has resulted in more calls from this budget. </w:t>
      </w:r>
      <w:r w:rsidR="005E1653" w:rsidRPr="00D6635E">
        <w:rPr>
          <w:rStyle w:val="normaltextrun"/>
          <w:rFonts w:ascii="Arial" w:hAnsi="Arial" w:cs="Arial"/>
        </w:rPr>
        <w:t>Overall s</w:t>
      </w:r>
      <w:r w:rsidRPr="00D6635E">
        <w:rPr>
          <w:rStyle w:val="normaltextrun"/>
          <w:rFonts w:ascii="Arial" w:hAnsi="Arial" w:cs="Arial"/>
        </w:rPr>
        <w:t xml:space="preserve">pend has increased by </w:t>
      </w:r>
      <w:r w:rsidR="005F5124" w:rsidRPr="00D6635E">
        <w:rPr>
          <w:rStyle w:val="normaltextrun"/>
          <w:rFonts w:ascii="Arial" w:hAnsi="Arial" w:cs="Arial"/>
        </w:rPr>
        <w:t>1</w:t>
      </w:r>
      <w:r w:rsidR="005B4527" w:rsidRPr="00D6635E">
        <w:rPr>
          <w:rStyle w:val="normaltextrun"/>
          <w:rFonts w:ascii="Arial" w:hAnsi="Arial" w:cs="Arial"/>
        </w:rPr>
        <w:t>3</w:t>
      </w:r>
      <w:r w:rsidRPr="00D6635E">
        <w:rPr>
          <w:rStyle w:val="normaltextrun"/>
          <w:rFonts w:ascii="Arial" w:hAnsi="Arial" w:cs="Arial"/>
        </w:rPr>
        <w:t>% compared to the 202</w:t>
      </w:r>
      <w:r w:rsidR="005F5124" w:rsidRPr="00D6635E">
        <w:rPr>
          <w:rStyle w:val="normaltextrun"/>
          <w:rFonts w:ascii="Arial" w:hAnsi="Arial" w:cs="Arial"/>
        </w:rPr>
        <w:t>1/22</w:t>
      </w:r>
      <w:r w:rsidRPr="00D6635E">
        <w:rPr>
          <w:rStyle w:val="normaltextrun"/>
          <w:rFonts w:ascii="Arial" w:hAnsi="Arial" w:cs="Arial"/>
        </w:rPr>
        <w:t xml:space="preserve"> outturn, with increases across all phases</w:t>
      </w:r>
      <w:r w:rsidR="00991522" w:rsidRPr="00D6635E">
        <w:rPr>
          <w:rStyle w:val="normaltextrun"/>
          <w:rFonts w:ascii="Arial" w:hAnsi="Arial" w:cs="Arial"/>
        </w:rPr>
        <w:t xml:space="preserve"> except </w:t>
      </w:r>
      <w:r w:rsidR="00943B88" w:rsidRPr="00D6635E">
        <w:rPr>
          <w:rStyle w:val="normaltextrun"/>
          <w:rFonts w:ascii="Arial" w:hAnsi="Arial" w:cs="Arial"/>
        </w:rPr>
        <w:t>special schools</w:t>
      </w:r>
      <w:r w:rsidR="003624F5">
        <w:rPr>
          <w:rStyle w:val="normaltextrun"/>
          <w:rFonts w:ascii="Arial" w:hAnsi="Arial" w:cs="Arial"/>
        </w:rPr>
        <w:t>,</w:t>
      </w:r>
      <w:r w:rsidR="00943B88" w:rsidRPr="00D6635E">
        <w:rPr>
          <w:rStyle w:val="normaltextrun"/>
          <w:rFonts w:ascii="Arial" w:hAnsi="Arial" w:cs="Arial"/>
        </w:rPr>
        <w:t xml:space="preserve"> which has shown a</w:t>
      </w:r>
      <w:r w:rsidR="00BD556F" w:rsidRPr="00D6635E">
        <w:rPr>
          <w:rStyle w:val="normaltextrun"/>
          <w:rFonts w:ascii="Arial" w:hAnsi="Arial" w:cs="Arial"/>
        </w:rPr>
        <w:t xml:space="preserve"> </w:t>
      </w:r>
      <w:r w:rsidR="00F30EB6" w:rsidRPr="00D6635E">
        <w:rPr>
          <w:rStyle w:val="normaltextrun"/>
          <w:rFonts w:ascii="Arial" w:hAnsi="Arial" w:cs="Arial"/>
        </w:rPr>
        <w:t xml:space="preserve">decrease of </w:t>
      </w:r>
      <w:r w:rsidR="00840EF6" w:rsidRPr="00D6635E">
        <w:rPr>
          <w:rStyle w:val="normaltextrun"/>
          <w:rFonts w:ascii="Arial" w:hAnsi="Arial" w:cs="Arial"/>
        </w:rPr>
        <w:t>8%</w:t>
      </w:r>
      <w:r w:rsidRPr="00D6635E">
        <w:rPr>
          <w:rStyle w:val="normaltextrun"/>
          <w:rFonts w:ascii="Arial" w:hAnsi="Arial" w:cs="Arial"/>
        </w:rPr>
        <w:t>.</w:t>
      </w:r>
    </w:p>
    <w:p w14:paraId="3C43E64D" w14:textId="1E559791" w:rsidR="00BC66B1" w:rsidRPr="004670D0" w:rsidRDefault="00BC66B1" w:rsidP="004C0FF0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</w:rPr>
      </w:pPr>
      <w:r w:rsidRPr="004670D0">
        <w:rPr>
          <w:rStyle w:val="normaltextrun"/>
          <w:rFonts w:ascii="Arial" w:hAnsi="Arial" w:cs="Arial"/>
          <w:b/>
        </w:rPr>
        <w:t xml:space="preserve">Other SEN: </w:t>
      </w:r>
      <w:r w:rsidRPr="004670D0">
        <w:rPr>
          <w:rStyle w:val="normaltextrun"/>
          <w:rFonts w:ascii="Arial" w:hAnsi="Arial" w:cs="Arial"/>
        </w:rPr>
        <w:t>This overspend is due to an increase in pupils accessing direct payments</w:t>
      </w:r>
      <w:r w:rsidR="000B2DBC" w:rsidRPr="004670D0">
        <w:rPr>
          <w:rStyle w:val="normaltextrun"/>
          <w:rFonts w:ascii="Arial" w:hAnsi="Arial" w:cs="Arial"/>
        </w:rPr>
        <w:t>; s</w:t>
      </w:r>
      <w:r w:rsidRPr="004670D0">
        <w:rPr>
          <w:rStyle w:val="normaltextrun"/>
          <w:rFonts w:ascii="Arial" w:hAnsi="Arial" w:cs="Arial"/>
        </w:rPr>
        <w:t xml:space="preserve">pend on direct payments has increased by </w:t>
      </w:r>
      <w:r w:rsidR="001632A8" w:rsidRPr="004670D0">
        <w:rPr>
          <w:rStyle w:val="normaltextrun"/>
          <w:rFonts w:ascii="Arial" w:hAnsi="Arial" w:cs="Arial"/>
        </w:rPr>
        <w:t>42</w:t>
      </w:r>
      <w:r w:rsidRPr="004670D0">
        <w:rPr>
          <w:rStyle w:val="normaltextrun"/>
          <w:rFonts w:ascii="Arial" w:hAnsi="Arial" w:cs="Arial"/>
        </w:rPr>
        <w:t>% compared to last year.</w:t>
      </w:r>
    </w:p>
    <w:p w14:paraId="31A4D510" w14:textId="77777777" w:rsidR="00A20AD1" w:rsidRPr="000F037B" w:rsidRDefault="00A20AD1" w:rsidP="00E909BE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Style w:val="normaltextrun"/>
          <w:rFonts w:ascii="Arial" w:hAnsi="Arial" w:cs="Arial"/>
        </w:rPr>
      </w:pPr>
      <w:r w:rsidRPr="000F037B">
        <w:rPr>
          <w:rStyle w:val="normaltextrun"/>
          <w:rFonts w:ascii="Arial" w:hAnsi="Arial" w:cs="Arial"/>
        </w:rPr>
        <w:t>Other material variances within the High Needs Block include:</w:t>
      </w:r>
    </w:p>
    <w:p w14:paraId="5323DAA3" w14:textId="002205B2" w:rsidR="004E4F44" w:rsidRDefault="004E4F44" w:rsidP="00E70E62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</w:rPr>
      </w:pPr>
      <w:bookmarkStart w:id="1" w:name="_Hlk25237662"/>
      <w:bookmarkStart w:id="2" w:name="OLE_LINK6"/>
      <w:bookmarkStart w:id="3" w:name="OLE_LINK7"/>
      <w:r>
        <w:rPr>
          <w:rStyle w:val="normaltextrun"/>
          <w:rFonts w:ascii="Arial" w:hAnsi="Arial" w:cs="Arial"/>
          <w:b/>
        </w:rPr>
        <w:t xml:space="preserve">High </w:t>
      </w:r>
      <w:r w:rsidRPr="000F037B">
        <w:rPr>
          <w:rStyle w:val="normaltextrun"/>
          <w:rFonts w:ascii="Arial" w:hAnsi="Arial" w:cs="Arial"/>
          <w:b/>
        </w:rPr>
        <w:t xml:space="preserve">needs support for inclusion: </w:t>
      </w:r>
      <w:r w:rsidRPr="000F037B">
        <w:rPr>
          <w:rStyle w:val="normaltextrun"/>
          <w:rFonts w:ascii="Arial" w:hAnsi="Arial" w:cs="Arial"/>
        </w:rPr>
        <w:t xml:space="preserve">there is an underspend on the Primary </w:t>
      </w:r>
      <w:proofErr w:type="spellStart"/>
      <w:r w:rsidRPr="000F037B">
        <w:rPr>
          <w:rStyle w:val="normaltextrun"/>
          <w:rFonts w:ascii="Arial" w:hAnsi="Arial" w:cs="Arial"/>
        </w:rPr>
        <w:t>Behaviour</w:t>
      </w:r>
      <w:proofErr w:type="spellEnd"/>
      <w:r w:rsidRPr="000F037B">
        <w:rPr>
          <w:rStyle w:val="normaltextrun"/>
          <w:rFonts w:ascii="Arial" w:hAnsi="Arial" w:cs="Arial"/>
        </w:rPr>
        <w:t xml:space="preserve"> Support Service of £218,000 due to staff vacancies from recruitment challenges, lower travel and supplies and services costs. </w:t>
      </w:r>
      <w:r w:rsidRPr="00396E4B">
        <w:rPr>
          <w:rStyle w:val="normaltextrun"/>
          <w:rFonts w:ascii="Arial" w:hAnsi="Arial" w:cs="Arial"/>
        </w:rPr>
        <w:t>There are also variances in Money Following Excluded Pupils (£114,000 income higher than budget); and the Hampshire Achieves Future You service (£43,000 net underspend, from increased income</w:t>
      </w:r>
      <w:r>
        <w:rPr>
          <w:rStyle w:val="normaltextrun"/>
          <w:rFonts w:ascii="Arial" w:hAnsi="Arial" w:cs="Arial"/>
        </w:rPr>
        <w:t>-generating activity</w:t>
      </w:r>
      <w:r w:rsidRPr="00396E4B">
        <w:rPr>
          <w:rStyle w:val="normaltextrun"/>
          <w:rFonts w:ascii="Arial" w:hAnsi="Arial" w:cs="Arial"/>
        </w:rPr>
        <w:t>).</w:t>
      </w:r>
    </w:p>
    <w:p w14:paraId="4DC1A984" w14:textId="0E0439A3" w:rsidR="00512748" w:rsidRPr="008F4EB5" w:rsidRDefault="00EC6100" w:rsidP="00E70E62">
      <w:pPr>
        <w:pStyle w:val="Heading2"/>
        <w:keepNext w:val="0"/>
        <w:numPr>
          <w:ilvl w:val="0"/>
          <w:numId w:val="10"/>
        </w:numPr>
        <w:tabs>
          <w:tab w:val="num" w:pos="851"/>
        </w:tabs>
        <w:ind w:left="851" w:hanging="425"/>
        <w:jc w:val="left"/>
        <w:rPr>
          <w:rStyle w:val="normaltextrun"/>
          <w:rFonts w:ascii="Arial" w:hAnsi="Arial" w:cs="Arial"/>
        </w:rPr>
      </w:pPr>
      <w:r w:rsidRPr="006F7D11">
        <w:rPr>
          <w:rStyle w:val="normaltextrun"/>
          <w:rFonts w:ascii="Arial" w:hAnsi="Arial" w:cs="Arial"/>
          <w:b/>
        </w:rPr>
        <w:t xml:space="preserve">Hospital Education Service: </w:t>
      </w:r>
      <w:bookmarkEnd w:id="1"/>
      <w:r w:rsidR="00512748" w:rsidRPr="006F7D11">
        <w:rPr>
          <w:rStyle w:val="normaltextrun"/>
          <w:rFonts w:ascii="Arial" w:hAnsi="Arial" w:cs="Arial"/>
        </w:rPr>
        <w:t xml:space="preserve">There have been fewer </w:t>
      </w:r>
      <w:r w:rsidR="00072A0D">
        <w:rPr>
          <w:rStyle w:val="normaltextrun"/>
          <w:rFonts w:ascii="Arial" w:hAnsi="Arial" w:cs="Arial"/>
        </w:rPr>
        <w:t>young people</w:t>
      </w:r>
      <w:r w:rsidR="00512748">
        <w:rPr>
          <w:rStyle w:val="normaltextrun"/>
          <w:rFonts w:ascii="Arial" w:hAnsi="Arial" w:cs="Arial"/>
        </w:rPr>
        <w:t xml:space="preserve"> in </w:t>
      </w:r>
      <w:r w:rsidR="001F2CC2" w:rsidRPr="006F7D11">
        <w:rPr>
          <w:rStyle w:val="normaltextrun"/>
          <w:rFonts w:ascii="Arial" w:hAnsi="Arial" w:cs="Arial"/>
        </w:rPr>
        <w:t>independent hospital education this year, resulting in an underspend of £</w:t>
      </w:r>
      <w:r w:rsidR="002970AE" w:rsidRPr="006F7D11">
        <w:rPr>
          <w:rStyle w:val="normaltextrun"/>
          <w:rFonts w:ascii="Arial" w:hAnsi="Arial" w:cs="Arial"/>
        </w:rPr>
        <w:t>177,000</w:t>
      </w:r>
      <w:r w:rsidR="000C527F">
        <w:rPr>
          <w:rStyle w:val="normaltextrun"/>
          <w:rFonts w:ascii="Arial" w:hAnsi="Arial" w:cs="Arial"/>
        </w:rPr>
        <w:t xml:space="preserve"> (44%)</w:t>
      </w:r>
      <w:r w:rsidR="00AD062B">
        <w:rPr>
          <w:rStyle w:val="normaltextrun"/>
          <w:rFonts w:ascii="Arial" w:hAnsi="Arial" w:cs="Arial"/>
        </w:rPr>
        <w:t>, although the number increased towards the end of the ye</w:t>
      </w:r>
      <w:r w:rsidR="00AD062B" w:rsidRPr="008F4EB5">
        <w:rPr>
          <w:rStyle w:val="normaltextrun"/>
          <w:rFonts w:ascii="Arial" w:hAnsi="Arial" w:cs="Arial"/>
        </w:rPr>
        <w:t>ar</w:t>
      </w:r>
      <w:r w:rsidR="002970AE" w:rsidRPr="008F4EB5">
        <w:rPr>
          <w:rStyle w:val="normaltextrun"/>
          <w:rFonts w:ascii="Arial" w:hAnsi="Arial" w:cs="Arial"/>
        </w:rPr>
        <w:t xml:space="preserve">. </w:t>
      </w:r>
      <w:r w:rsidR="00987515" w:rsidRPr="008F4EB5">
        <w:rPr>
          <w:rStyle w:val="normaltextrun"/>
          <w:rFonts w:ascii="Arial" w:hAnsi="Arial" w:cs="Arial"/>
        </w:rPr>
        <w:t xml:space="preserve">The </w:t>
      </w:r>
      <w:r w:rsidR="00E95F1B" w:rsidRPr="008F4EB5">
        <w:rPr>
          <w:rStyle w:val="normaltextrun"/>
          <w:rFonts w:ascii="Arial" w:hAnsi="Arial" w:cs="Arial"/>
        </w:rPr>
        <w:t>Secure and Specialist Education</w:t>
      </w:r>
      <w:r w:rsidR="00BD45C3" w:rsidRPr="008F4EB5">
        <w:rPr>
          <w:rStyle w:val="normaltextrun"/>
          <w:rFonts w:ascii="Arial" w:hAnsi="Arial" w:cs="Arial"/>
        </w:rPr>
        <w:t xml:space="preserve"> service</w:t>
      </w:r>
      <w:r w:rsidR="00E95F1B" w:rsidRPr="008F4EB5">
        <w:rPr>
          <w:rStyle w:val="normaltextrun"/>
          <w:rFonts w:ascii="Arial" w:hAnsi="Arial" w:cs="Arial"/>
        </w:rPr>
        <w:t xml:space="preserve"> </w:t>
      </w:r>
      <w:r w:rsidR="00987515" w:rsidRPr="008F4EB5">
        <w:rPr>
          <w:rStyle w:val="normaltextrun"/>
          <w:rFonts w:ascii="Arial" w:hAnsi="Arial" w:cs="Arial"/>
        </w:rPr>
        <w:t xml:space="preserve">(formerly </w:t>
      </w:r>
      <w:r w:rsidR="00BD45C3" w:rsidRPr="008F4EB5">
        <w:rPr>
          <w:rStyle w:val="normaltextrun"/>
          <w:rFonts w:ascii="Arial" w:hAnsi="Arial" w:cs="Arial"/>
        </w:rPr>
        <w:t>Hampshire</w:t>
      </w:r>
      <w:r w:rsidR="00D65D18" w:rsidRPr="008F4EB5">
        <w:rPr>
          <w:rStyle w:val="normaltextrun"/>
          <w:rFonts w:ascii="Arial" w:hAnsi="Arial" w:cs="Arial"/>
        </w:rPr>
        <w:t xml:space="preserve"> Achieves</w:t>
      </w:r>
      <w:r w:rsidR="00BD45C3" w:rsidRPr="008F4EB5">
        <w:rPr>
          <w:rStyle w:val="normaltextrun"/>
          <w:rFonts w:ascii="Arial" w:hAnsi="Arial" w:cs="Arial"/>
        </w:rPr>
        <w:t>)</w:t>
      </w:r>
      <w:r w:rsidR="00D65D18" w:rsidRPr="008F4EB5">
        <w:rPr>
          <w:rStyle w:val="normaltextrun"/>
          <w:rFonts w:ascii="Arial" w:hAnsi="Arial" w:cs="Arial"/>
        </w:rPr>
        <w:t xml:space="preserve"> </w:t>
      </w:r>
      <w:r w:rsidR="006A7EA4" w:rsidRPr="008F4EB5">
        <w:rPr>
          <w:rStyle w:val="normaltextrun"/>
          <w:rFonts w:ascii="Arial" w:hAnsi="Arial" w:cs="Arial"/>
        </w:rPr>
        <w:t>had an underspend of £</w:t>
      </w:r>
      <w:r w:rsidR="009665F1" w:rsidRPr="008F4EB5">
        <w:rPr>
          <w:rStyle w:val="normaltextrun"/>
          <w:rFonts w:ascii="Arial" w:hAnsi="Arial" w:cs="Arial"/>
        </w:rPr>
        <w:t xml:space="preserve">59,000 </w:t>
      </w:r>
      <w:r w:rsidR="000C527F" w:rsidRPr="008F4EB5">
        <w:rPr>
          <w:rStyle w:val="normaltextrun"/>
          <w:rFonts w:ascii="Arial" w:hAnsi="Arial" w:cs="Arial"/>
        </w:rPr>
        <w:t xml:space="preserve">(5%) </w:t>
      </w:r>
      <w:r w:rsidR="00E66C37" w:rsidRPr="008F4EB5">
        <w:rPr>
          <w:rStyle w:val="normaltextrun"/>
          <w:rFonts w:ascii="Arial" w:hAnsi="Arial" w:cs="Arial"/>
        </w:rPr>
        <w:t>for</w:t>
      </w:r>
      <w:r w:rsidR="00A50DBD" w:rsidRPr="008F4EB5">
        <w:rPr>
          <w:rStyle w:val="normaltextrun"/>
          <w:rFonts w:ascii="Arial" w:hAnsi="Arial" w:cs="Arial"/>
        </w:rPr>
        <w:t xml:space="preserve"> the </w:t>
      </w:r>
      <w:r w:rsidR="00E66C37" w:rsidRPr="008F4EB5">
        <w:rPr>
          <w:rStyle w:val="normaltextrun"/>
          <w:rFonts w:ascii="Arial" w:hAnsi="Arial" w:cs="Arial"/>
        </w:rPr>
        <w:t xml:space="preserve">NHS mental health hospital teams, </w:t>
      </w:r>
      <w:r w:rsidR="003E0B2D" w:rsidRPr="008F4EB5">
        <w:rPr>
          <w:rStyle w:val="normaltextrun"/>
          <w:rFonts w:ascii="Arial" w:hAnsi="Arial" w:cs="Arial"/>
        </w:rPr>
        <w:t xml:space="preserve">principally in non-pay expenditure </w:t>
      </w:r>
      <w:r w:rsidR="008F4EB5" w:rsidRPr="008F4EB5">
        <w:rPr>
          <w:rStyle w:val="normaltextrun"/>
          <w:rFonts w:ascii="Arial" w:hAnsi="Arial" w:cs="Arial"/>
        </w:rPr>
        <w:t>including IT</w:t>
      </w:r>
      <w:r w:rsidR="00D47181" w:rsidRPr="008F4EB5">
        <w:rPr>
          <w:rStyle w:val="normaltextrun"/>
          <w:rFonts w:ascii="Arial" w:hAnsi="Arial" w:cs="Arial"/>
        </w:rPr>
        <w:t xml:space="preserve">. </w:t>
      </w:r>
    </w:p>
    <w:p w14:paraId="313D9D47" w14:textId="0D1167A0" w:rsidR="00571FAF" w:rsidRPr="004B0B06" w:rsidRDefault="00571FAF" w:rsidP="00571FAF">
      <w:pPr>
        <w:pStyle w:val="Heading2"/>
        <w:keepNext w:val="0"/>
        <w:numPr>
          <w:ilvl w:val="0"/>
          <w:numId w:val="0"/>
        </w:numPr>
        <w:ind w:left="426"/>
        <w:jc w:val="left"/>
        <w:rPr>
          <w:rFonts w:ascii="Arial" w:hAnsi="Arial" w:cs="Arial"/>
          <w:b/>
          <w:szCs w:val="24"/>
        </w:rPr>
      </w:pPr>
      <w:r w:rsidRPr="004B0B06">
        <w:rPr>
          <w:rFonts w:ascii="Arial" w:hAnsi="Arial" w:cs="Arial"/>
          <w:b/>
          <w:szCs w:val="24"/>
        </w:rPr>
        <w:t>Central School Services Block</w:t>
      </w:r>
    </w:p>
    <w:p w14:paraId="65328678" w14:textId="2B222F58" w:rsidR="00255FFE" w:rsidRPr="004B0B06" w:rsidRDefault="00DE793D" w:rsidP="002952D2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4B0B06">
        <w:rPr>
          <w:rFonts w:ascii="Arial" w:hAnsi="Arial" w:cs="Arial"/>
          <w:szCs w:val="24"/>
        </w:rPr>
        <w:t xml:space="preserve">The </w:t>
      </w:r>
      <w:r w:rsidR="000A4BF9" w:rsidRPr="004B0B06">
        <w:rPr>
          <w:rFonts w:ascii="Arial" w:hAnsi="Arial" w:cs="Arial"/>
          <w:szCs w:val="24"/>
        </w:rPr>
        <w:t>final</w:t>
      </w:r>
      <w:r w:rsidRPr="004B0B06">
        <w:rPr>
          <w:rFonts w:ascii="Arial" w:hAnsi="Arial" w:cs="Arial"/>
          <w:szCs w:val="24"/>
        </w:rPr>
        <w:t xml:space="preserve"> position on the block is a</w:t>
      </w:r>
      <w:r w:rsidR="004B0B06" w:rsidRPr="004B0B06">
        <w:rPr>
          <w:rFonts w:ascii="Arial" w:hAnsi="Arial" w:cs="Arial"/>
          <w:szCs w:val="24"/>
        </w:rPr>
        <w:t>n underspend</w:t>
      </w:r>
      <w:r w:rsidRPr="004B0B06">
        <w:rPr>
          <w:rFonts w:ascii="Arial" w:hAnsi="Arial" w:cs="Arial"/>
          <w:szCs w:val="24"/>
        </w:rPr>
        <w:t xml:space="preserve"> of £</w:t>
      </w:r>
      <w:r w:rsidR="00084875" w:rsidRPr="004B0B06">
        <w:rPr>
          <w:rFonts w:ascii="Arial" w:hAnsi="Arial" w:cs="Arial"/>
          <w:szCs w:val="24"/>
        </w:rPr>
        <w:t>827</w:t>
      </w:r>
      <w:r w:rsidRPr="004B0B06">
        <w:rPr>
          <w:rFonts w:ascii="Arial" w:hAnsi="Arial" w:cs="Arial"/>
          <w:szCs w:val="24"/>
        </w:rPr>
        <w:t>,000</w:t>
      </w:r>
      <w:r w:rsidR="00E41BE1" w:rsidRPr="004B0B06">
        <w:rPr>
          <w:rFonts w:ascii="Arial" w:hAnsi="Arial" w:cs="Arial"/>
          <w:szCs w:val="24"/>
        </w:rPr>
        <w:t xml:space="preserve"> (</w:t>
      </w:r>
      <w:r w:rsidR="004B0B06" w:rsidRPr="004B0B06">
        <w:rPr>
          <w:rFonts w:ascii="Arial" w:hAnsi="Arial" w:cs="Arial"/>
          <w:szCs w:val="24"/>
        </w:rPr>
        <w:t>10</w:t>
      </w:r>
      <w:r w:rsidR="007D5F96" w:rsidRPr="004B0B06">
        <w:rPr>
          <w:rFonts w:ascii="Arial" w:hAnsi="Arial" w:cs="Arial"/>
          <w:szCs w:val="24"/>
        </w:rPr>
        <w:t>.2</w:t>
      </w:r>
      <w:r w:rsidR="00E41BE1" w:rsidRPr="004B0B06">
        <w:rPr>
          <w:rFonts w:ascii="Arial" w:hAnsi="Arial" w:cs="Arial"/>
          <w:szCs w:val="24"/>
        </w:rPr>
        <w:t>%)</w:t>
      </w:r>
      <w:r w:rsidR="006903A8" w:rsidRPr="004B0B06">
        <w:rPr>
          <w:rFonts w:ascii="Arial" w:hAnsi="Arial" w:cs="Arial"/>
          <w:szCs w:val="24"/>
        </w:rPr>
        <w:t>.</w:t>
      </w:r>
    </w:p>
    <w:p w14:paraId="289D34A6" w14:textId="533CB41E" w:rsidR="00E11EB6" w:rsidRPr="00324BD3" w:rsidRDefault="00E11EB6" w:rsidP="002952D2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324BD3">
        <w:rPr>
          <w:rFonts w:ascii="Arial" w:hAnsi="Arial" w:cs="Arial"/>
          <w:szCs w:val="24"/>
        </w:rPr>
        <w:t>The majority of the underspend (£615,000) is because the local authority has identified alternative funding to replace the DSG contribution to the combined budgets for Family Support Service (£522,000) and NEETs (£93,000) while maintaining the same level of service.</w:t>
      </w:r>
    </w:p>
    <w:p w14:paraId="46BEA070" w14:textId="77777777" w:rsidR="009047B4" w:rsidRDefault="009047B4" w:rsidP="002952D2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Other</w:t>
      </w:r>
      <w:r w:rsidR="00324BD3" w:rsidRPr="00DD6B14">
        <w:rPr>
          <w:rFonts w:ascii="Arial" w:hAnsi="Arial" w:cs="Arial"/>
          <w:szCs w:val="24"/>
        </w:rPr>
        <w:t xml:space="preserve"> underspends </w:t>
      </w:r>
      <w:r w:rsidR="008400CA">
        <w:rPr>
          <w:rFonts w:ascii="Arial" w:hAnsi="Arial" w:cs="Arial"/>
          <w:szCs w:val="24"/>
        </w:rPr>
        <w:t>i</w:t>
      </w:r>
      <w:r w:rsidR="001176D1" w:rsidRPr="00DD6B14">
        <w:rPr>
          <w:rFonts w:ascii="Arial" w:hAnsi="Arial" w:cs="Arial"/>
          <w:szCs w:val="24"/>
        </w:rPr>
        <w:t>n</w:t>
      </w:r>
      <w:r w:rsidR="00324BD3" w:rsidRPr="00DD6B1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the block include:</w:t>
      </w:r>
    </w:p>
    <w:p w14:paraId="73394A2E" w14:textId="1093985C" w:rsidR="009047B4" w:rsidRDefault="00BA6DDA" w:rsidP="009047B4">
      <w:pPr>
        <w:pStyle w:val="Heading2"/>
        <w:keepNext w:val="0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DD6B14">
        <w:rPr>
          <w:rFonts w:ascii="Arial" w:hAnsi="Arial" w:cs="Arial"/>
          <w:szCs w:val="24"/>
        </w:rPr>
        <w:t xml:space="preserve">Admissions </w:t>
      </w:r>
      <w:r w:rsidR="009047B4">
        <w:rPr>
          <w:rFonts w:ascii="Arial" w:hAnsi="Arial" w:cs="Arial"/>
          <w:szCs w:val="24"/>
        </w:rPr>
        <w:t>(</w:t>
      </w:r>
      <w:r w:rsidRPr="00A83FD4">
        <w:rPr>
          <w:rFonts w:ascii="Arial" w:hAnsi="Arial" w:cs="Arial"/>
          <w:szCs w:val="24"/>
        </w:rPr>
        <w:t>£</w:t>
      </w:r>
      <w:r w:rsidRPr="00DD6B14">
        <w:rPr>
          <w:rFonts w:ascii="Arial" w:hAnsi="Arial" w:cs="Arial"/>
          <w:szCs w:val="24"/>
        </w:rPr>
        <w:t>78</w:t>
      </w:r>
      <w:r>
        <w:rPr>
          <w:rFonts w:ascii="Arial" w:hAnsi="Arial" w:cs="Arial"/>
          <w:szCs w:val="24"/>
        </w:rPr>
        <w:t>,000</w:t>
      </w:r>
      <w:r w:rsidR="009047B4">
        <w:rPr>
          <w:rFonts w:ascii="Arial" w:hAnsi="Arial" w:cs="Arial"/>
          <w:szCs w:val="24"/>
        </w:rPr>
        <w:t>)</w:t>
      </w:r>
      <w:r w:rsidRPr="00DD6B14">
        <w:rPr>
          <w:rFonts w:ascii="Arial" w:hAnsi="Arial" w:cs="Arial"/>
          <w:szCs w:val="24"/>
        </w:rPr>
        <w:t xml:space="preserve"> due to </w:t>
      </w:r>
      <w:r>
        <w:rPr>
          <w:rFonts w:ascii="Arial" w:hAnsi="Arial" w:cs="Arial"/>
          <w:szCs w:val="24"/>
        </w:rPr>
        <w:t xml:space="preserve">allocation of </w:t>
      </w:r>
      <w:r w:rsidRPr="00DD6B14">
        <w:rPr>
          <w:rFonts w:ascii="Arial" w:hAnsi="Arial" w:cs="Arial"/>
          <w:szCs w:val="24"/>
        </w:rPr>
        <w:t>temporary Ukraine funding</w:t>
      </w:r>
      <w:r>
        <w:rPr>
          <w:rFonts w:ascii="Arial" w:hAnsi="Arial" w:cs="Arial"/>
          <w:szCs w:val="24"/>
        </w:rPr>
        <w:t xml:space="preserve"> to reflect the significant work pressure on the team</w:t>
      </w:r>
      <w:r w:rsidR="00BC3B50">
        <w:rPr>
          <w:rFonts w:ascii="Arial" w:hAnsi="Arial" w:cs="Arial"/>
          <w:szCs w:val="24"/>
        </w:rPr>
        <w:t>.</w:t>
      </w:r>
      <w:r w:rsidR="009047B4">
        <w:rPr>
          <w:rFonts w:ascii="Arial" w:hAnsi="Arial" w:cs="Arial"/>
          <w:szCs w:val="24"/>
        </w:rPr>
        <w:t xml:space="preserve"> </w:t>
      </w:r>
    </w:p>
    <w:p w14:paraId="4AD3288B" w14:textId="707F7ECD" w:rsidR="006957B0" w:rsidRDefault="00506A97" w:rsidP="009047B4">
      <w:pPr>
        <w:pStyle w:val="Heading2"/>
        <w:keepNext w:val="0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1176D1" w:rsidRPr="00A83FD4">
        <w:rPr>
          <w:rFonts w:ascii="Arial" w:hAnsi="Arial" w:cs="Arial"/>
          <w:szCs w:val="24"/>
        </w:rPr>
        <w:t>ees</w:t>
      </w:r>
      <w:r w:rsidR="001176D1" w:rsidRPr="00DD6B14">
        <w:rPr>
          <w:rFonts w:ascii="Arial" w:hAnsi="Arial" w:cs="Arial"/>
          <w:szCs w:val="24"/>
        </w:rPr>
        <w:t xml:space="preserve"> to independent schools for pupils without </w:t>
      </w:r>
      <w:r w:rsidR="001176D1" w:rsidRPr="00A83FD4">
        <w:rPr>
          <w:rFonts w:ascii="Arial" w:hAnsi="Arial" w:cs="Arial"/>
          <w:szCs w:val="24"/>
        </w:rPr>
        <w:t>SEN</w:t>
      </w:r>
      <w:r>
        <w:rPr>
          <w:rFonts w:ascii="Arial" w:hAnsi="Arial" w:cs="Arial"/>
          <w:szCs w:val="24"/>
        </w:rPr>
        <w:t xml:space="preserve"> (</w:t>
      </w:r>
      <w:r w:rsidR="001176D1" w:rsidRPr="00A83FD4">
        <w:rPr>
          <w:rFonts w:ascii="Arial" w:hAnsi="Arial" w:cs="Arial"/>
          <w:szCs w:val="24"/>
        </w:rPr>
        <w:t>£</w:t>
      </w:r>
      <w:r w:rsidR="008A66AC" w:rsidRPr="00DD6B14">
        <w:rPr>
          <w:rFonts w:ascii="Arial" w:hAnsi="Arial" w:cs="Arial"/>
          <w:szCs w:val="24"/>
        </w:rPr>
        <w:t>7</w:t>
      </w:r>
      <w:r w:rsidR="00324BD3" w:rsidRPr="00DD6B14">
        <w:rPr>
          <w:rFonts w:ascii="Arial" w:hAnsi="Arial" w:cs="Arial"/>
          <w:szCs w:val="24"/>
        </w:rPr>
        <w:t>0</w:t>
      </w:r>
      <w:r w:rsidR="00751D1B" w:rsidRPr="00DD6B14">
        <w:rPr>
          <w:rFonts w:ascii="Arial" w:hAnsi="Arial" w:cs="Arial"/>
          <w:szCs w:val="24"/>
        </w:rPr>
        <w:t>,000</w:t>
      </w:r>
      <w:r>
        <w:rPr>
          <w:rFonts w:ascii="Arial" w:hAnsi="Arial" w:cs="Arial"/>
          <w:szCs w:val="24"/>
        </w:rPr>
        <w:t>),</w:t>
      </w:r>
      <w:r w:rsidR="00392C12">
        <w:rPr>
          <w:rFonts w:ascii="Arial" w:hAnsi="Arial" w:cs="Arial"/>
          <w:szCs w:val="24"/>
        </w:rPr>
        <w:t xml:space="preserve"> where </w:t>
      </w:r>
      <w:r w:rsidR="006643B0">
        <w:rPr>
          <w:rFonts w:ascii="Arial" w:hAnsi="Arial" w:cs="Arial"/>
          <w:szCs w:val="24"/>
        </w:rPr>
        <w:t xml:space="preserve">placements formerly funded from this budget have been </w:t>
      </w:r>
      <w:r w:rsidR="006643B0">
        <w:rPr>
          <w:rFonts w:ascii="Arial" w:hAnsi="Arial" w:cs="Arial"/>
          <w:szCs w:val="24"/>
        </w:rPr>
        <w:lastRenderedPageBreak/>
        <w:t xml:space="preserve">reviewed and </w:t>
      </w:r>
      <w:r w:rsidR="00237134">
        <w:rPr>
          <w:rFonts w:ascii="Arial" w:hAnsi="Arial" w:cs="Arial"/>
          <w:szCs w:val="24"/>
        </w:rPr>
        <w:t xml:space="preserve">appropriate costs have </w:t>
      </w:r>
      <w:r w:rsidR="00797A42">
        <w:rPr>
          <w:rFonts w:ascii="Arial" w:hAnsi="Arial" w:cs="Arial"/>
          <w:szCs w:val="24"/>
        </w:rPr>
        <w:t xml:space="preserve">now </w:t>
      </w:r>
      <w:r w:rsidR="00237134">
        <w:rPr>
          <w:rFonts w:ascii="Arial" w:hAnsi="Arial" w:cs="Arial"/>
          <w:szCs w:val="24"/>
        </w:rPr>
        <w:t xml:space="preserve">been charged to the High Needs </w:t>
      </w:r>
      <w:r w:rsidR="00C77150">
        <w:rPr>
          <w:rFonts w:ascii="Arial" w:hAnsi="Arial" w:cs="Arial"/>
          <w:szCs w:val="24"/>
        </w:rPr>
        <w:t>B</w:t>
      </w:r>
      <w:r w:rsidR="00237134">
        <w:rPr>
          <w:rFonts w:ascii="Arial" w:hAnsi="Arial" w:cs="Arial"/>
          <w:szCs w:val="24"/>
        </w:rPr>
        <w:t>lock</w:t>
      </w:r>
      <w:r w:rsidR="00BC3B50">
        <w:rPr>
          <w:rFonts w:ascii="Arial" w:hAnsi="Arial" w:cs="Arial"/>
          <w:szCs w:val="24"/>
        </w:rPr>
        <w:t>.</w:t>
      </w:r>
      <w:r w:rsidR="006957B0" w:rsidRPr="00A83FD4">
        <w:rPr>
          <w:rFonts w:ascii="Arial" w:hAnsi="Arial" w:cs="Arial"/>
          <w:szCs w:val="24"/>
        </w:rPr>
        <w:t xml:space="preserve"> </w:t>
      </w:r>
    </w:p>
    <w:p w14:paraId="3E6C7878" w14:textId="38C94EDD" w:rsidR="001176D1" w:rsidRPr="00A83FD4" w:rsidRDefault="008400CA" w:rsidP="009047B4">
      <w:pPr>
        <w:pStyle w:val="Heading2"/>
        <w:keepNext w:val="0"/>
        <w:numPr>
          <w:ilvl w:val="0"/>
          <w:numId w:val="12"/>
        </w:numPr>
        <w:jc w:val="left"/>
        <w:rPr>
          <w:rFonts w:ascii="Arial" w:hAnsi="Arial" w:cs="Arial"/>
          <w:szCs w:val="24"/>
        </w:rPr>
      </w:pPr>
      <w:r w:rsidRPr="00A83FD4">
        <w:rPr>
          <w:rFonts w:ascii="Arial" w:hAnsi="Arial" w:cs="Arial"/>
          <w:szCs w:val="24"/>
        </w:rPr>
        <w:t xml:space="preserve">Education Welfare </w:t>
      </w:r>
      <w:r w:rsidR="009047B4">
        <w:rPr>
          <w:rFonts w:ascii="Arial" w:hAnsi="Arial" w:cs="Arial"/>
          <w:szCs w:val="24"/>
        </w:rPr>
        <w:t>(</w:t>
      </w:r>
      <w:r w:rsidRPr="00A83FD4">
        <w:rPr>
          <w:rFonts w:ascii="Arial" w:hAnsi="Arial" w:cs="Arial"/>
          <w:szCs w:val="24"/>
        </w:rPr>
        <w:t>£68,000</w:t>
      </w:r>
      <w:r w:rsidR="009047B4">
        <w:rPr>
          <w:rFonts w:ascii="Arial" w:hAnsi="Arial" w:cs="Arial"/>
          <w:szCs w:val="24"/>
        </w:rPr>
        <w:t>)</w:t>
      </w:r>
      <w:r w:rsidRPr="00A83FD4">
        <w:rPr>
          <w:rFonts w:ascii="Arial" w:hAnsi="Arial" w:cs="Arial"/>
          <w:szCs w:val="24"/>
        </w:rPr>
        <w:t xml:space="preserve"> from vacancies in child employment and EHE visitor roles due to recruitment challenges</w:t>
      </w:r>
      <w:r w:rsidR="00CB10FC" w:rsidRPr="00DD6B14">
        <w:rPr>
          <w:rFonts w:ascii="Arial" w:hAnsi="Arial" w:cs="Arial"/>
          <w:szCs w:val="24"/>
        </w:rPr>
        <w:t>.</w:t>
      </w:r>
    </w:p>
    <w:bookmarkEnd w:id="2"/>
    <w:bookmarkEnd w:id="3"/>
    <w:p w14:paraId="400E12C5" w14:textId="721DC0A2" w:rsidR="009414E5" w:rsidRPr="00EA6359" w:rsidRDefault="009414E5" w:rsidP="00070B48">
      <w:pPr>
        <w:pStyle w:val="Heading2"/>
        <w:keepNext w:val="0"/>
        <w:numPr>
          <w:ilvl w:val="0"/>
          <w:numId w:val="0"/>
        </w:numPr>
        <w:ind w:left="426"/>
        <w:jc w:val="left"/>
        <w:rPr>
          <w:rFonts w:ascii="Arial" w:hAnsi="Arial" w:cs="Arial"/>
          <w:b/>
          <w:szCs w:val="24"/>
        </w:rPr>
      </w:pPr>
      <w:r w:rsidRPr="00EA6359">
        <w:rPr>
          <w:rFonts w:ascii="Arial" w:hAnsi="Arial" w:cs="Arial"/>
          <w:b/>
          <w:szCs w:val="24"/>
        </w:rPr>
        <w:t xml:space="preserve">Central </w:t>
      </w:r>
      <w:r w:rsidR="00C9482B" w:rsidRPr="00EA6359">
        <w:rPr>
          <w:rFonts w:ascii="Arial" w:hAnsi="Arial" w:cs="Arial"/>
          <w:b/>
          <w:szCs w:val="24"/>
        </w:rPr>
        <w:t>p</w:t>
      </w:r>
      <w:r w:rsidRPr="00EA6359">
        <w:rPr>
          <w:rFonts w:ascii="Arial" w:hAnsi="Arial" w:cs="Arial"/>
          <w:b/>
          <w:szCs w:val="24"/>
        </w:rPr>
        <w:t xml:space="preserve">rovision </w:t>
      </w:r>
      <w:r w:rsidR="00C9482B" w:rsidRPr="00EA6359">
        <w:rPr>
          <w:rFonts w:ascii="Arial" w:hAnsi="Arial" w:cs="Arial"/>
          <w:b/>
          <w:szCs w:val="24"/>
        </w:rPr>
        <w:t>f</w:t>
      </w:r>
      <w:r w:rsidRPr="00EA6359">
        <w:rPr>
          <w:rFonts w:ascii="Arial" w:hAnsi="Arial" w:cs="Arial"/>
          <w:b/>
          <w:szCs w:val="24"/>
        </w:rPr>
        <w:t xml:space="preserve">unded </w:t>
      </w:r>
      <w:r w:rsidR="004D353F" w:rsidRPr="00EA6359">
        <w:rPr>
          <w:rFonts w:ascii="Arial" w:hAnsi="Arial" w:cs="Arial"/>
          <w:b/>
          <w:szCs w:val="24"/>
        </w:rPr>
        <w:t>by</w:t>
      </w:r>
      <w:r w:rsidRPr="00EA6359">
        <w:rPr>
          <w:rFonts w:ascii="Arial" w:hAnsi="Arial" w:cs="Arial"/>
          <w:b/>
          <w:szCs w:val="24"/>
        </w:rPr>
        <w:t xml:space="preserve"> </w:t>
      </w:r>
      <w:r w:rsidR="00C9482B" w:rsidRPr="00EA6359">
        <w:rPr>
          <w:rFonts w:ascii="Arial" w:hAnsi="Arial" w:cs="Arial"/>
          <w:b/>
          <w:szCs w:val="24"/>
        </w:rPr>
        <w:t>m</w:t>
      </w:r>
      <w:r w:rsidRPr="00EA6359">
        <w:rPr>
          <w:rFonts w:ascii="Arial" w:hAnsi="Arial" w:cs="Arial"/>
          <w:b/>
          <w:szCs w:val="24"/>
        </w:rPr>
        <w:t xml:space="preserve">aintained </w:t>
      </w:r>
      <w:r w:rsidR="00C9482B" w:rsidRPr="00EA6359">
        <w:rPr>
          <w:rFonts w:ascii="Arial" w:hAnsi="Arial" w:cs="Arial"/>
          <w:b/>
          <w:szCs w:val="24"/>
        </w:rPr>
        <w:t>s</w:t>
      </w:r>
      <w:r w:rsidRPr="00EA6359">
        <w:rPr>
          <w:rFonts w:ascii="Arial" w:hAnsi="Arial" w:cs="Arial"/>
          <w:b/>
          <w:szCs w:val="24"/>
        </w:rPr>
        <w:t xml:space="preserve">chool </w:t>
      </w:r>
      <w:r w:rsidR="009B16CD" w:rsidRPr="00EA6359">
        <w:rPr>
          <w:rFonts w:ascii="Arial" w:hAnsi="Arial" w:cs="Arial"/>
          <w:b/>
          <w:szCs w:val="24"/>
        </w:rPr>
        <w:t>budgets</w:t>
      </w:r>
    </w:p>
    <w:p w14:paraId="76F2E85A" w14:textId="7E660E33" w:rsidR="00EF4EEB" w:rsidRPr="00EA6359" w:rsidRDefault="003A3422" w:rsidP="003A3422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EA6359">
        <w:rPr>
          <w:rFonts w:ascii="Arial" w:hAnsi="Arial" w:cs="Arial"/>
          <w:szCs w:val="24"/>
        </w:rPr>
        <w:t xml:space="preserve">The overall underspend of </w:t>
      </w:r>
      <w:r w:rsidR="00B67AB7" w:rsidRPr="00EA6359">
        <w:rPr>
          <w:rFonts w:ascii="Arial" w:hAnsi="Arial" w:cs="Arial"/>
          <w:szCs w:val="24"/>
        </w:rPr>
        <w:t>£</w:t>
      </w:r>
      <w:r w:rsidR="00EA6359" w:rsidRPr="00EA6359">
        <w:rPr>
          <w:rFonts w:ascii="Arial" w:hAnsi="Arial" w:cs="Arial"/>
          <w:szCs w:val="24"/>
        </w:rPr>
        <w:t>6</w:t>
      </w:r>
      <w:r w:rsidR="00B67AB7" w:rsidRPr="00EA6359">
        <w:rPr>
          <w:rFonts w:ascii="Arial" w:hAnsi="Arial" w:cs="Arial"/>
          <w:szCs w:val="24"/>
        </w:rPr>
        <w:t>9</w:t>
      </w:r>
      <w:r w:rsidR="00EA6359" w:rsidRPr="00EA6359">
        <w:rPr>
          <w:rFonts w:ascii="Arial" w:hAnsi="Arial" w:cs="Arial"/>
          <w:szCs w:val="24"/>
        </w:rPr>
        <w:t>8</w:t>
      </w:r>
      <w:r w:rsidR="00485E30" w:rsidRPr="00EA6359">
        <w:rPr>
          <w:rFonts w:ascii="Arial" w:hAnsi="Arial" w:cs="Arial"/>
          <w:szCs w:val="24"/>
        </w:rPr>
        <w:t xml:space="preserve">,000 </w:t>
      </w:r>
      <w:r w:rsidRPr="00EA6359">
        <w:rPr>
          <w:rFonts w:ascii="Arial" w:hAnsi="Arial" w:cs="Arial"/>
          <w:szCs w:val="24"/>
        </w:rPr>
        <w:t>on the central provision funded by maintained schools has been apportioned t</w:t>
      </w:r>
      <w:r w:rsidR="007F53D3" w:rsidRPr="00EA6359">
        <w:rPr>
          <w:rFonts w:ascii="Arial" w:hAnsi="Arial" w:cs="Arial"/>
          <w:szCs w:val="24"/>
        </w:rPr>
        <w:t>o the Schools Block and High Needs Block based on the contributions from the schools funded from these blocks.</w:t>
      </w:r>
      <w:r w:rsidRPr="00EA6359">
        <w:rPr>
          <w:rFonts w:ascii="Arial" w:hAnsi="Arial" w:cs="Arial"/>
          <w:szCs w:val="24"/>
        </w:rPr>
        <w:t xml:space="preserve"> This has resulted in an underspend of £</w:t>
      </w:r>
      <w:r w:rsidR="00030DDE" w:rsidRPr="00EA6359">
        <w:rPr>
          <w:rFonts w:ascii="Arial" w:hAnsi="Arial" w:cs="Arial"/>
          <w:szCs w:val="24"/>
        </w:rPr>
        <w:t>686</w:t>
      </w:r>
      <w:r w:rsidRPr="00EA6359">
        <w:rPr>
          <w:rFonts w:ascii="Arial" w:hAnsi="Arial" w:cs="Arial"/>
          <w:szCs w:val="24"/>
        </w:rPr>
        <w:t>,000 being allocated to the Schools Block and £</w:t>
      </w:r>
      <w:r w:rsidR="00F41C68" w:rsidRPr="00EA6359">
        <w:rPr>
          <w:rFonts w:ascii="Arial" w:hAnsi="Arial" w:cs="Arial"/>
          <w:szCs w:val="24"/>
        </w:rPr>
        <w:t>1</w:t>
      </w:r>
      <w:r w:rsidR="003C7FF1" w:rsidRPr="00EA6359">
        <w:rPr>
          <w:rFonts w:ascii="Arial" w:hAnsi="Arial" w:cs="Arial"/>
          <w:szCs w:val="24"/>
        </w:rPr>
        <w:t>2</w:t>
      </w:r>
      <w:r w:rsidRPr="00EA6359">
        <w:rPr>
          <w:rFonts w:ascii="Arial" w:hAnsi="Arial" w:cs="Arial"/>
          <w:szCs w:val="24"/>
        </w:rPr>
        <w:t>,000 to the High Needs Block.</w:t>
      </w:r>
    </w:p>
    <w:p w14:paraId="185090D7" w14:textId="083D3964" w:rsidR="14202BF7" w:rsidRDefault="14202BF7" w:rsidP="7514AA5A">
      <w:pPr>
        <w:pStyle w:val="Heading2"/>
        <w:keepNext w:val="0"/>
        <w:tabs>
          <w:tab w:val="clear" w:pos="576"/>
          <w:tab w:val="num" w:pos="426"/>
        </w:tabs>
        <w:spacing w:line="259" w:lineRule="auto"/>
        <w:ind w:left="426" w:hanging="568"/>
        <w:jc w:val="left"/>
        <w:rPr>
          <w:rFonts w:ascii="Arial" w:hAnsi="Arial" w:cs="Arial"/>
        </w:rPr>
      </w:pPr>
      <w:r w:rsidRPr="7514AA5A">
        <w:rPr>
          <w:rFonts w:ascii="Arial" w:hAnsi="Arial" w:cs="Arial"/>
        </w:rPr>
        <w:t>The</w:t>
      </w:r>
      <w:r w:rsidR="1E6F66E5" w:rsidRPr="7514AA5A">
        <w:rPr>
          <w:rFonts w:ascii="Arial" w:hAnsi="Arial" w:cs="Arial"/>
        </w:rPr>
        <w:t xml:space="preserve"> majority relates to</w:t>
      </w:r>
      <w:r w:rsidR="7F33E677" w:rsidRPr="7514AA5A">
        <w:rPr>
          <w:rFonts w:ascii="Arial" w:hAnsi="Arial" w:cs="Arial"/>
        </w:rPr>
        <w:t xml:space="preserve"> an underspend of £</w:t>
      </w:r>
      <w:r w:rsidR="7C7B0B1F" w:rsidRPr="7514AA5A">
        <w:rPr>
          <w:rFonts w:ascii="Arial" w:hAnsi="Arial" w:cs="Arial"/>
        </w:rPr>
        <w:t>5</w:t>
      </w:r>
      <w:r w:rsidR="3A7F9500" w:rsidRPr="7514AA5A">
        <w:rPr>
          <w:rFonts w:ascii="Arial" w:hAnsi="Arial" w:cs="Arial"/>
        </w:rPr>
        <w:t>17</w:t>
      </w:r>
      <w:r w:rsidR="7F33E677" w:rsidRPr="7514AA5A">
        <w:rPr>
          <w:rFonts w:ascii="Arial" w:hAnsi="Arial" w:cs="Arial"/>
        </w:rPr>
        <w:t xml:space="preserve">,000 on the </w:t>
      </w:r>
      <w:r w:rsidR="1AD1D09C" w:rsidRPr="7514AA5A">
        <w:rPr>
          <w:rFonts w:ascii="Arial" w:hAnsi="Arial" w:cs="Arial"/>
        </w:rPr>
        <w:t>redundancy and premature retirement costs budget</w:t>
      </w:r>
      <w:r w:rsidR="6BE1499F" w:rsidRPr="7514AA5A">
        <w:rPr>
          <w:rFonts w:ascii="Arial" w:hAnsi="Arial" w:cs="Arial"/>
        </w:rPr>
        <w:t xml:space="preserve">, </w:t>
      </w:r>
      <w:r w:rsidR="41988489" w:rsidRPr="7514AA5A">
        <w:rPr>
          <w:rFonts w:ascii="Arial" w:hAnsi="Arial" w:cs="Arial"/>
        </w:rPr>
        <w:t xml:space="preserve">due to </w:t>
      </w:r>
      <w:r w:rsidR="0AA2B46B" w:rsidRPr="7514AA5A">
        <w:rPr>
          <w:rFonts w:ascii="Arial" w:hAnsi="Arial" w:cs="Arial"/>
        </w:rPr>
        <w:t>a reduction</w:t>
      </w:r>
      <w:r w:rsidR="41988489" w:rsidRPr="7514AA5A">
        <w:rPr>
          <w:rFonts w:ascii="Arial" w:hAnsi="Arial" w:cs="Arial"/>
        </w:rPr>
        <w:t xml:space="preserve"> in the </w:t>
      </w:r>
      <w:r w:rsidR="0AA2B46B" w:rsidRPr="7514AA5A">
        <w:rPr>
          <w:rFonts w:ascii="Arial" w:hAnsi="Arial" w:cs="Arial"/>
        </w:rPr>
        <w:t>number of redundancy cases</w:t>
      </w:r>
      <w:r w:rsidR="6230EA60" w:rsidRPr="7514AA5A">
        <w:rPr>
          <w:rFonts w:ascii="Arial" w:hAnsi="Arial" w:cs="Arial"/>
        </w:rPr>
        <w:t xml:space="preserve">.  </w:t>
      </w:r>
      <w:r w:rsidR="21CAA1B4" w:rsidRPr="7514AA5A">
        <w:rPr>
          <w:rFonts w:ascii="Arial" w:hAnsi="Arial" w:cs="Arial"/>
        </w:rPr>
        <w:t>It is acknowledged that there may be a range of drivers influencing this reduction with staff recruitment and retention challenges along with school growth forming part of the picture.</w:t>
      </w:r>
    </w:p>
    <w:p w14:paraId="6AC7E959" w14:textId="4D35E7CE" w:rsidR="00DA0C80" w:rsidRPr="00BB0634" w:rsidRDefault="00DA0C80" w:rsidP="00A618F1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7514AA5A">
        <w:rPr>
          <w:rFonts w:ascii="Arial" w:hAnsi="Arial" w:cs="Arial"/>
        </w:rPr>
        <w:t>The</w:t>
      </w:r>
      <w:r w:rsidR="000D2A31" w:rsidRPr="7514AA5A">
        <w:rPr>
          <w:rFonts w:ascii="Arial" w:hAnsi="Arial" w:cs="Arial"/>
        </w:rPr>
        <w:t xml:space="preserve">re is </w:t>
      </w:r>
      <w:r w:rsidR="00923E81" w:rsidRPr="7514AA5A">
        <w:rPr>
          <w:rFonts w:ascii="Arial" w:hAnsi="Arial" w:cs="Arial"/>
        </w:rPr>
        <w:t>£180k</w:t>
      </w:r>
      <w:r w:rsidR="00A96ECD" w:rsidRPr="7514AA5A">
        <w:rPr>
          <w:rFonts w:ascii="Arial" w:hAnsi="Arial" w:cs="Arial"/>
        </w:rPr>
        <w:t xml:space="preserve"> underspend on </w:t>
      </w:r>
      <w:r w:rsidR="00923E81" w:rsidRPr="7514AA5A">
        <w:rPr>
          <w:rFonts w:ascii="Arial" w:hAnsi="Arial" w:cs="Arial"/>
        </w:rPr>
        <w:t xml:space="preserve">a variety of </w:t>
      </w:r>
      <w:r w:rsidR="00A96ECD" w:rsidRPr="7514AA5A">
        <w:rPr>
          <w:rFonts w:ascii="Arial" w:hAnsi="Arial" w:cs="Arial"/>
        </w:rPr>
        <w:t>Statut</w:t>
      </w:r>
      <w:r w:rsidR="00C0561B" w:rsidRPr="7514AA5A">
        <w:rPr>
          <w:rFonts w:ascii="Arial" w:hAnsi="Arial" w:cs="Arial"/>
        </w:rPr>
        <w:t>ory and Regulatory duties</w:t>
      </w:r>
      <w:r w:rsidR="00E212B0" w:rsidRPr="7514AA5A">
        <w:rPr>
          <w:rFonts w:ascii="Arial" w:hAnsi="Arial" w:cs="Arial"/>
        </w:rPr>
        <w:t xml:space="preserve"> in relation to changes in demand and </w:t>
      </w:r>
      <w:r w:rsidR="00A47F67" w:rsidRPr="7514AA5A">
        <w:rPr>
          <w:rFonts w:ascii="Arial" w:hAnsi="Arial" w:cs="Arial"/>
        </w:rPr>
        <w:t>staff vacancies</w:t>
      </w:r>
      <w:r w:rsidR="003248E1" w:rsidRPr="7514AA5A">
        <w:rPr>
          <w:rFonts w:ascii="Arial" w:hAnsi="Arial" w:cs="Arial"/>
        </w:rPr>
        <w:t>.</w:t>
      </w:r>
    </w:p>
    <w:p w14:paraId="64D87F6E" w14:textId="46A44BF7" w:rsidR="00262DDA" w:rsidRPr="00485374" w:rsidRDefault="00D05438" w:rsidP="00262DDA">
      <w:pPr>
        <w:pStyle w:val="Heading1"/>
        <w:keepNext w:val="0"/>
        <w:tabs>
          <w:tab w:val="clear" w:pos="2843"/>
        </w:tabs>
        <w:ind w:left="431" w:hanging="431"/>
        <w:jc w:val="left"/>
        <w:rPr>
          <w:rFonts w:ascii="Arial" w:hAnsi="Arial" w:cs="Arial"/>
          <w:bCs/>
          <w:szCs w:val="24"/>
        </w:rPr>
      </w:pPr>
      <w:r w:rsidRPr="00485374">
        <w:rPr>
          <w:rFonts w:ascii="Arial" w:hAnsi="Arial" w:cs="Arial"/>
          <w:bCs/>
          <w:szCs w:val="24"/>
        </w:rPr>
        <w:t>Recommendations</w:t>
      </w:r>
    </w:p>
    <w:p w14:paraId="77E7BE8F" w14:textId="041991BD" w:rsidR="00CF60C2" w:rsidRPr="00485374" w:rsidRDefault="00D05438" w:rsidP="00CF60C2">
      <w:pPr>
        <w:pStyle w:val="Heading2"/>
        <w:keepNext w:val="0"/>
        <w:tabs>
          <w:tab w:val="clear" w:pos="576"/>
          <w:tab w:val="num" w:pos="426"/>
        </w:tabs>
        <w:ind w:left="426" w:hanging="568"/>
        <w:jc w:val="left"/>
        <w:rPr>
          <w:rFonts w:ascii="Arial" w:hAnsi="Arial" w:cs="Arial"/>
          <w:szCs w:val="24"/>
        </w:rPr>
      </w:pPr>
      <w:r w:rsidRPr="00485374">
        <w:rPr>
          <w:rFonts w:ascii="Arial" w:hAnsi="Arial" w:cs="Arial"/>
          <w:szCs w:val="24"/>
        </w:rPr>
        <w:t xml:space="preserve">It is recommended that Schools Forum notes </w:t>
      </w:r>
      <w:r w:rsidR="009E2058" w:rsidRPr="00485374">
        <w:rPr>
          <w:rFonts w:ascii="Arial" w:hAnsi="Arial" w:cs="Arial"/>
          <w:szCs w:val="24"/>
        </w:rPr>
        <w:t xml:space="preserve">the </w:t>
      </w:r>
      <w:r w:rsidR="00DE4FB0" w:rsidRPr="00485374">
        <w:rPr>
          <w:rFonts w:ascii="Arial" w:hAnsi="Arial" w:cs="Arial"/>
          <w:szCs w:val="24"/>
        </w:rPr>
        <w:t>forecast outturn</w:t>
      </w:r>
      <w:r w:rsidR="00C35927" w:rsidRPr="00485374">
        <w:rPr>
          <w:rFonts w:ascii="Arial" w:hAnsi="Arial" w:cs="Arial"/>
          <w:szCs w:val="24"/>
        </w:rPr>
        <w:t xml:space="preserve"> for 20</w:t>
      </w:r>
      <w:r w:rsidR="00DE4FB0" w:rsidRPr="00485374">
        <w:rPr>
          <w:rFonts w:ascii="Arial" w:hAnsi="Arial" w:cs="Arial"/>
          <w:szCs w:val="24"/>
        </w:rPr>
        <w:t>2</w:t>
      </w:r>
      <w:r w:rsidR="00D33077" w:rsidRPr="00485374">
        <w:rPr>
          <w:rFonts w:ascii="Arial" w:hAnsi="Arial" w:cs="Arial"/>
          <w:szCs w:val="24"/>
        </w:rPr>
        <w:t>2</w:t>
      </w:r>
      <w:r w:rsidR="00C35927" w:rsidRPr="00485374">
        <w:rPr>
          <w:rFonts w:ascii="Arial" w:hAnsi="Arial" w:cs="Arial"/>
          <w:szCs w:val="24"/>
        </w:rPr>
        <w:t>/2</w:t>
      </w:r>
      <w:r w:rsidR="00D33077" w:rsidRPr="00485374">
        <w:rPr>
          <w:rFonts w:ascii="Arial" w:hAnsi="Arial" w:cs="Arial"/>
          <w:szCs w:val="24"/>
        </w:rPr>
        <w:t>3</w:t>
      </w:r>
      <w:r w:rsidRPr="00485374">
        <w:rPr>
          <w:rFonts w:ascii="Arial" w:hAnsi="Arial" w:cs="Arial"/>
          <w:szCs w:val="24"/>
        </w:rPr>
        <w:t>.</w:t>
      </w:r>
    </w:p>
    <w:p w14:paraId="0A08B751" w14:textId="77777777" w:rsidR="00920D6F" w:rsidRDefault="00CD561D" w:rsidP="00DC2E1C">
      <w:pPr>
        <w:pStyle w:val="EndnoteText"/>
        <w:pageBreakBefore/>
        <w:rPr>
          <w:rFonts w:ascii="Arial" w:hAnsi="Arial" w:cs="Arial"/>
          <w:b/>
          <w:kern w:val="28"/>
          <w:sz w:val="24"/>
          <w:szCs w:val="24"/>
        </w:rPr>
      </w:pPr>
      <w:r w:rsidRPr="00127255">
        <w:rPr>
          <w:rFonts w:ascii="Arial" w:hAnsi="Arial" w:cs="Arial"/>
          <w:b/>
          <w:kern w:val="28"/>
          <w:sz w:val="24"/>
          <w:szCs w:val="24"/>
        </w:rPr>
        <w:lastRenderedPageBreak/>
        <w:t>A</w:t>
      </w:r>
      <w:r w:rsidR="00926356" w:rsidRPr="00127255">
        <w:rPr>
          <w:rFonts w:ascii="Arial" w:hAnsi="Arial" w:cs="Arial"/>
          <w:b/>
          <w:kern w:val="28"/>
          <w:sz w:val="24"/>
          <w:szCs w:val="24"/>
        </w:rPr>
        <w:t>ppendi</w:t>
      </w:r>
      <w:r w:rsidR="00DC2E1C" w:rsidRPr="00127255">
        <w:rPr>
          <w:rFonts w:ascii="Arial" w:hAnsi="Arial" w:cs="Arial"/>
          <w:b/>
          <w:kern w:val="28"/>
          <w:sz w:val="24"/>
          <w:szCs w:val="24"/>
        </w:rPr>
        <w:t>x 1 – Schools budget position as at 31 March 2023</w:t>
      </w:r>
    </w:p>
    <w:tbl>
      <w:tblPr>
        <w:tblW w:w="8779" w:type="dxa"/>
        <w:tblLook w:val="04A0" w:firstRow="1" w:lastRow="0" w:firstColumn="1" w:lastColumn="0" w:noHBand="0" w:noVBand="1"/>
      </w:tblPr>
      <w:tblGrid>
        <w:gridCol w:w="4385"/>
        <w:gridCol w:w="1134"/>
        <w:gridCol w:w="1134"/>
        <w:gridCol w:w="1134"/>
        <w:gridCol w:w="992"/>
      </w:tblGrid>
      <w:tr w:rsidR="00920D6F" w:rsidRPr="00920D6F" w14:paraId="3C8AE539" w14:textId="77777777" w:rsidTr="00920D6F">
        <w:trPr>
          <w:trHeight w:val="430"/>
        </w:trPr>
        <w:tc>
          <w:tcPr>
            <w:tcW w:w="4385" w:type="dxa"/>
            <w:vMerge w:val="restart"/>
            <w:tcBorders>
              <w:top w:val="single" w:sz="8" w:space="0" w:color="AEAEAE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C6C4C4"/>
            <w:hideMark/>
          </w:tcPr>
          <w:p w14:paraId="0B6D5A72" w14:textId="795F94C6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Budget Heading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7D338DD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Annual</w:t>
            </w: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Budget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3DD58DC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Actuals </w:t>
            </w: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  <w:t>YTD</w:t>
            </w:r>
          </w:p>
        </w:tc>
        <w:tc>
          <w:tcPr>
            <w:tcW w:w="2126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44AD044D" w14:textId="77777777" w:rsidR="00920D6F" w:rsidRPr="00920D6F" w:rsidRDefault="00920D6F" w:rsidP="00920D6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YE Variance</w:t>
            </w:r>
          </w:p>
        </w:tc>
      </w:tr>
      <w:tr w:rsidR="00920D6F" w:rsidRPr="00920D6F" w14:paraId="53533705" w14:textId="77777777" w:rsidTr="00920D6F">
        <w:trPr>
          <w:trHeight w:val="300"/>
        </w:trPr>
        <w:tc>
          <w:tcPr>
            <w:tcW w:w="4385" w:type="dxa"/>
            <w:vMerge/>
            <w:tcBorders>
              <w:top w:val="single" w:sz="8" w:space="0" w:color="AEAEAE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vAlign w:val="center"/>
            <w:hideMark/>
          </w:tcPr>
          <w:p w14:paraId="3788A116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0F98999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£'000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6C4A06F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£'000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6EF9C68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£'000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C6C4C4"/>
            <w:vAlign w:val="center"/>
            <w:hideMark/>
          </w:tcPr>
          <w:p w14:paraId="7F4348F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%</w:t>
            </w:r>
          </w:p>
        </w:tc>
      </w:tr>
      <w:tr w:rsidR="00920D6F" w:rsidRPr="00920D6F" w14:paraId="1A34DC5B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A72AE6E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Early Years ISB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C9A963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181972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39128A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2D0AAC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(0.0)</w:t>
            </w:r>
          </w:p>
        </w:tc>
      </w:tr>
      <w:tr w:rsidR="00920D6F" w:rsidRPr="00920D6F" w14:paraId="56822355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8F641C9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Two Year Olds Free Entitlement Funding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A46ABB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43744E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6,102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75B4A8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447EE0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</w:tr>
      <w:tr w:rsidR="00920D6F" w:rsidRPr="00920D6F" w14:paraId="37F8A87F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992499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3&amp;4 Year Olds Universal Entitlement 15h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C1E44A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48,878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03BAA5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47,492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C03450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(1,386)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47C84A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(2.8)</w:t>
            </w:r>
          </w:p>
        </w:tc>
      </w:tr>
      <w:tr w:rsidR="00920D6F" w:rsidRPr="00920D6F" w14:paraId="0EDEFE7F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964D6B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3&amp;4 Year Olds Additional Entitlement 30h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C8E2EB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23,126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5A3864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23,182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D62996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AA2B3F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0.2</w:t>
            </w:r>
          </w:p>
        </w:tc>
      </w:tr>
      <w:tr w:rsidR="00920D6F" w:rsidRPr="00920D6F" w14:paraId="07C363AD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BD619F7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Other 3&amp;4 Year Olds Funding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FAEEBA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494289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2E6BDB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908F59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8.7</w:t>
            </w:r>
          </w:p>
        </w:tc>
      </w:tr>
      <w:tr w:rsidR="00920D6F" w:rsidRPr="00920D6F" w14:paraId="140BEB09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DD39CF1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Three to Four Year Olds Free Entitlement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A38B31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74,235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C3CA9E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73,098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E4F674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(1,137)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73AC10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(1.5)</w:t>
            </w:r>
          </w:p>
        </w:tc>
      </w:tr>
      <w:tr w:rsidR="00920D6F" w:rsidRPr="00920D6F" w14:paraId="7C510A9D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844624E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Early Years Central Expenditure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27C205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EF20A9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68E14C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(597)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3C01E2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(15.0)</w:t>
            </w:r>
          </w:p>
        </w:tc>
      </w:tr>
      <w:tr w:rsidR="00920D6F" w:rsidRPr="00920D6F" w14:paraId="7502F459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C112A70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Early Years Obsolete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995D8D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4AC74E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70D1EE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D684A9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X</w:t>
            </w:r>
          </w:p>
        </w:tc>
      </w:tr>
      <w:tr w:rsidR="00920D6F" w:rsidRPr="00920D6F" w14:paraId="0AB670EC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0D64E495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Early Years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72A1F17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84,776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49B9F53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83,099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7E0130C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(1,677)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0EB9D89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(2.0)</w:t>
            </w:r>
          </w:p>
        </w:tc>
      </w:tr>
      <w:tr w:rsidR="00920D6F" w:rsidRPr="00920D6F" w14:paraId="12F7501D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416C855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Schools Budget Shares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9101A0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635,100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9C269E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634,918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264F4E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(182)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614B1D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(0.0)</w:t>
            </w:r>
          </w:p>
        </w:tc>
      </w:tr>
      <w:tr w:rsidR="00920D6F" w:rsidRPr="00920D6F" w14:paraId="4F6F8BA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4C92C32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Staff Supply Cover (Not Sickness)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4B154D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2101A9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ED9CB7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45F19D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6.5</w:t>
            </w:r>
          </w:p>
        </w:tc>
      </w:tr>
      <w:tr w:rsidR="00920D6F" w:rsidRPr="00920D6F" w14:paraId="7E00255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54D35C7" w14:textId="5A3726BF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Ethnic Minority and Traveller Achievemen</w:t>
            </w:r>
            <w:r w:rsidR="003633E3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E14B7E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BE11ED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669283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B37FD6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(1.3)</w:t>
            </w:r>
          </w:p>
        </w:tc>
      </w:tr>
      <w:tr w:rsidR="00920D6F" w:rsidRPr="00920D6F" w14:paraId="23C794B8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6A54FCC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Schools Contingency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EF3332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2FF3F0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521EF2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(76)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1E0451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(28.3)</w:t>
            </w:r>
          </w:p>
        </w:tc>
      </w:tr>
      <w:tr w:rsidR="00920D6F" w:rsidRPr="00920D6F" w14:paraId="2C0DF495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AA11902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Licences and Subscriptions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149241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DFB43D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B65E6F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F599DF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8.5</w:t>
            </w:r>
          </w:p>
        </w:tc>
      </w:tr>
      <w:tr w:rsidR="00920D6F" w:rsidRPr="00920D6F" w14:paraId="5F540F33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E6CC8AE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Schools </w:t>
            </w:r>
            <w:proofErr w:type="spellStart"/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Dedelegated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E5B78C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636362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8C83C4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(47)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4BE306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(2.2)</w:t>
            </w:r>
          </w:p>
        </w:tc>
      </w:tr>
      <w:tr w:rsidR="00920D6F" w:rsidRPr="00920D6F" w14:paraId="4EC8B0DA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6D7F650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Schools Central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6112C4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4,063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BDCC27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F1D0FD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(873)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8F4B4C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(21.5)</w:t>
            </w:r>
          </w:p>
        </w:tc>
      </w:tr>
      <w:tr w:rsidR="00920D6F" w:rsidRPr="00920D6F" w14:paraId="2D0046E1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43584A0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Central Provision funded by </w:t>
            </w:r>
            <w:proofErr w:type="spellStart"/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Maint</w:t>
            </w:r>
            <w:proofErr w:type="spellEnd"/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School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42D910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3221F3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F13B6F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(686)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25E76C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(17.2)</w:t>
            </w:r>
          </w:p>
        </w:tc>
      </w:tr>
      <w:tr w:rsidR="00920D6F" w:rsidRPr="00920D6F" w14:paraId="3D4110F0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7EABE666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Schools Block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23B2CDE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645,332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1D9180F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643,544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720D551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(1,788)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0486AA5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(0.3)</w:t>
            </w:r>
          </w:p>
        </w:tc>
      </w:tr>
      <w:tr w:rsidR="00920D6F" w:rsidRPr="00920D6F" w14:paraId="5F3DFE1D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433986A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Special Place Funding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A6ACA1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29,139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DD794F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29,139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279D16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663D70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(0.0)</w:t>
            </w:r>
          </w:p>
        </w:tc>
      </w:tr>
      <w:tr w:rsidR="00920D6F" w:rsidRPr="00920D6F" w14:paraId="0A3993CE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84A8A0E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Education Centres Place Funding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E9F2E0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BB58E7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F26855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3D5C02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</w:tr>
      <w:tr w:rsidR="00920D6F" w:rsidRPr="00920D6F" w14:paraId="00A9501B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DE7EE12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Resourced Provision Place Funding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5A5172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975511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4B49BC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FC7D7A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</w:tr>
      <w:tr w:rsidR="00920D6F" w:rsidRPr="00920D6F" w14:paraId="15A2E58D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A72C9E3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High Needs in Early Years Provision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0B7FE8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DAB759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5CB6D8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83508E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1.2</w:t>
            </w:r>
          </w:p>
        </w:tc>
      </w:tr>
      <w:tr w:rsidR="00920D6F" w:rsidRPr="00920D6F" w14:paraId="352AC64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54D1A15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High Needs Block Budget Shares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9EE528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39,457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6E0AFA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39,476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4C0673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445CF3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</w:tr>
      <w:tr w:rsidR="00920D6F" w:rsidRPr="00920D6F" w14:paraId="3DA11539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50530E3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Special School top-up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3315CE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24,400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7C65EC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23,878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02F46D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(522)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0BEAA8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(2.1)</w:t>
            </w:r>
          </w:p>
        </w:tc>
      </w:tr>
      <w:tr w:rsidR="00920D6F" w:rsidRPr="00920D6F" w14:paraId="1DFA24D4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7B8022C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Resourced Provision top-up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938435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E7CA6B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F149E3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(54)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5064E6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(1.6)</w:t>
            </w:r>
          </w:p>
        </w:tc>
      </w:tr>
      <w:tr w:rsidR="00920D6F" w:rsidRPr="00920D6F" w14:paraId="7589B94E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0638BF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Education Centre top-up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5FD705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6CBFC9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AA538A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F7ACFF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(9.5)</w:t>
            </w:r>
          </w:p>
        </w:tc>
      </w:tr>
      <w:tr w:rsidR="00920D6F" w:rsidRPr="00920D6F" w14:paraId="3F525114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F96DF7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Mainstream School top-up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A07DB6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A79E6D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24,900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198FAA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4D4B5E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42.3</w:t>
            </w:r>
          </w:p>
        </w:tc>
      </w:tr>
      <w:tr w:rsidR="00920D6F" w:rsidRPr="00920D6F" w14:paraId="773A559B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3FD4C06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Post-16 top-up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75A614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152347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7,388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9B2722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(2,312)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DD1DDE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(23.8)</w:t>
            </w:r>
          </w:p>
        </w:tc>
      </w:tr>
      <w:tr w:rsidR="00920D6F" w:rsidRPr="00920D6F" w14:paraId="13153899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3F31D2A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Pupils in OLA Schools top-up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0B27F7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AD1D73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5,296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F396B8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8DE4BF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19.0</w:t>
            </w:r>
          </w:p>
        </w:tc>
      </w:tr>
      <w:tr w:rsidR="00920D6F" w:rsidRPr="00920D6F" w14:paraId="30442C4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028EE5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Discretionary Payments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D4C789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9BC064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15,153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D4A03E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B845F2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37.8</w:t>
            </w:r>
          </w:p>
        </w:tc>
      </w:tr>
      <w:tr w:rsidR="00920D6F" w:rsidRPr="00920D6F" w14:paraId="36FBD32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26334A0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Other SEN (Direct payments etc.)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2E6A4A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546B1C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41EA10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613F71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43.5</w:t>
            </w:r>
          </w:p>
        </w:tc>
      </w:tr>
      <w:tr w:rsidR="00920D6F" w:rsidRPr="00920D6F" w14:paraId="4B18D0C3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5E03ACF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Maintained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63D078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74,610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E56379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84,609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C9F26C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9,999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0A0278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13.4</w:t>
            </w:r>
          </w:p>
        </w:tc>
      </w:tr>
      <w:tr w:rsidR="00920D6F" w:rsidRPr="00920D6F" w14:paraId="4C66C041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20DB291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Independent Provision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288237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38,058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BC56E5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60,939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025C3F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22,881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3DC7AF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60.1</w:t>
            </w:r>
          </w:p>
        </w:tc>
      </w:tr>
      <w:tr w:rsidR="00920D6F" w:rsidRPr="00920D6F" w14:paraId="1CD3B7C3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CEA6BFC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High Needs Top-Up Funding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83D6B6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112,668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74D30F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145,548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75D686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32,880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57BE38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29.2</w:t>
            </w:r>
          </w:p>
        </w:tc>
      </w:tr>
      <w:tr w:rsidR="00920D6F" w:rsidRPr="00920D6F" w14:paraId="77646A7A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13D7CE6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SEN Support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EED3AD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7,822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DF798F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5,949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EB4CE1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(1,873)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952C53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(23.9)</w:t>
            </w:r>
          </w:p>
        </w:tc>
      </w:tr>
      <w:tr w:rsidR="00920D6F" w:rsidRPr="00920D6F" w14:paraId="7682D585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255BDA2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High Needs Support for Inclusion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E58DEA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3,072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26338C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2,715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385673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(357)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FD62CD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(11.6)</w:t>
            </w:r>
          </w:p>
        </w:tc>
      </w:tr>
      <w:tr w:rsidR="00920D6F" w:rsidRPr="00920D6F" w14:paraId="4F45A817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4464FF9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Hospital Education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876B24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CA2888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25BFC4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(237)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DEB19B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(14.4)</w:t>
            </w:r>
          </w:p>
        </w:tc>
      </w:tr>
      <w:tr w:rsidR="00920D6F" w:rsidRPr="00920D6F" w14:paraId="539B21F1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E4E5FCF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Central Provision funded by </w:t>
            </w:r>
            <w:proofErr w:type="spellStart"/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Maint</w:t>
            </w:r>
            <w:proofErr w:type="spellEnd"/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 xml:space="preserve"> School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FBE5FC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56DAF3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7BE6800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4C98FB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(13.3)</w:t>
            </w:r>
          </w:p>
        </w:tc>
      </w:tr>
      <w:tr w:rsidR="00920D6F" w:rsidRPr="00920D6F" w14:paraId="3217FF37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0171F8D1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High Needs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0C630A6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164,757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4E91AAF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195,177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4557A90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30,420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4EFBEF4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18.5</w:t>
            </w:r>
          </w:p>
        </w:tc>
      </w:tr>
      <w:tr w:rsidR="00920D6F" w:rsidRPr="00920D6F" w14:paraId="38A46FF4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DA6BB31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Combined budgets - FSS &amp; NEETS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0683B5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9B8573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FF682B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(615)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F0186F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(75.5)</w:t>
            </w:r>
          </w:p>
        </w:tc>
      </w:tr>
      <w:tr w:rsidR="00920D6F" w:rsidRPr="00920D6F" w14:paraId="5F1C204A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767A787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lastRenderedPageBreak/>
              <w:t>Central Management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E92AF3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C59EF7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1453B9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80BFE0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X</w:t>
            </w:r>
          </w:p>
        </w:tc>
      </w:tr>
      <w:tr w:rsidR="00920D6F" w:rsidRPr="00920D6F" w14:paraId="55C41198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50F9777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Headteachers Conference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2328F3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8ADFD4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5DAC97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56F9C1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X</w:t>
            </w:r>
          </w:p>
        </w:tc>
      </w:tr>
      <w:tr w:rsidR="00920D6F" w:rsidRPr="00920D6F" w14:paraId="1CDFDF4E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DE3DC25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Termination of Employment Costs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9814ED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0B92D1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B03E00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EB5BB5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</w:tr>
      <w:tr w:rsidR="00920D6F" w:rsidRPr="00920D6F" w14:paraId="40C305FA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38674E6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Historic Commitments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83F72E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52899A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19AA3C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(607)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48A17E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(41.2)</w:t>
            </w:r>
          </w:p>
        </w:tc>
      </w:tr>
      <w:tr w:rsidR="00920D6F" w:rsidRPr="00920D6F" w14:paraId="3472D723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4C92F99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Copyright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533CA0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ED9AF3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024319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790434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(0.0)</w:t>
            </w:r>
          </w:p>
        </w:tc>
      </w:tr>
      <w:tr w:rsidR="00920D6F" w:rsidRPr="00920D6F" w14:paraId="6A10D4B9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4B41E5A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Admissions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CFD24D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67BCE5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6A6842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(78)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D2831F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(6.5)</w:t>
            </w:r>
          </w:p>
        </w:tc>
      </w:tr>
      <w:tr w:rsidR="00920D6F" w:rsidRPr="00920D6F" w14:paraId="2EA717AF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2BDA5CF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Servicing of Schools Forum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08EBF8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F577DC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A8046C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6282F2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20D6F" w:rsidRPr="00920D6F" w14:paraId="02827F7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B4466D8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Fees to Independent Schools without 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A2A573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561B92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1088F3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(70)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06A210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(17.4)</w:t>
            </w:r>
          </w:p>
        </w:tc>
      </w:tr>
      <w:tr w:rsidR="00920D6F" w:rsidRPr="00920D6F" w14:paraId="6D967B8A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63608AE3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Education welfare service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9BD149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5CAF810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69B3B2E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(68)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C3A247C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(4.6)</w:t>
            </w:r>
          </w:p>
        </w:tc>
      </w:tr>
      <w:tr w:rsidR="00920D6F" w:rsidRPr="00920D6F" w14:paraId="6FDBB146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410E5CD0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Asset management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F0B5ED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2416E2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32C0CD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BF6385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(0.1)</w:t>
            </w:r>
          </w:p>
        </w:tc>
      </w:tr>
      <w:tr w:rsidR="00920D6F" w:rsidRPr="00920D6F" w14:paraId="42178098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A2CC490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Statutory/ Regulatory duties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27DA527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29357EA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449342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07617D7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920D6F" w:rsidRPr="00920D6F" w14:paraId="5D56835C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1AAD27CE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Centrally Employed Teachers Pensions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FDCC27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531DCEC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3993CB38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auto" w:fill="auto"/>
            <w:vAlign w:val="center"/>
            <w:hideMark/>
          </w:tcPr>
          <w:p w14:paraId="75E7EC0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(0.7)</w:t>
            </w:r>
          </w:p>
        </w:tc>
      </w:tr>
      <w:tr w:rsidR="00920D6F" w:rsidRPr="00920D6F" w14:paraId="5EFA06C7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AFA50E3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Central Provision within Schools Budget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4FFE06F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6,607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F5DAD7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6,387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7D4542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(220)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7ACE5D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(3.3)</w:t>
            </w:r>
          </w:p>
        </w:tc>
      </w:tr>
      <w:tr w:rsidR="00920D6F" w:rsidRPr="00920D6F" w14:paraId="4491DFBD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38E2D76F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Central School Services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716FA0AD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8,080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6274078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7,253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1850C70B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(827)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6DF0A90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(10.2)</w:t>
            </w:r>
          </w:p>
        </w:tc>
      </w:tr>
      <w:tr w:rsidR="00920D6F" w:rsidRPr="00920D6F" w14:paraId="6BC945C2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B414049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Music Grant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014BF63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5A30FFE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1,731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4D55686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765145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(0.0)</w:t>
            </w:r>
          </w:p>
        </w:tc>
      </w:tr>
      <w:tr w:rsidR="00920D6F" w:rsidRPr="00920D6F" w14:paraId="35F73FC3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386179E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Pupil Premium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A44D0D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38,991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D0D2DD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38,991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DA4412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11639FD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</w:tr>
      <w:tr w:rsidR="00920D6F" w:rsidRPr="00920D6F" w14:paraId="0963005C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955FB12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Other Schools 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28DDC9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51,011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3753B09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51,011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20AB869A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D9E5F3"/>
            <w:vAlign w:val="center"/>
            <w:hideMark/>
          </w:tcPr>
          <w:p w14:paraId="6F57765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</w:tr>
      <w:tr w:rsidR="00920D6F" w:rsidRPr="00920D6F" w14:paraId="10E1C429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EAEAE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36117182" w14:textId="77777777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Schools Grants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563C68E2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91,733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66908C14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91,733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525ABD4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7CFE8"/>
            <w:vAlign w:val="center"/>
            <w:hideMark/>
          </w:tcPr>
          <w:p w14:paraId="7E1BF061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(0.0)</w:t>
            </w:r>
          </w:p>
        </w:tc>
      </w:tr>
      <w:tr w:rsidR="00920D6F" w:rsidRPr="00920D6F" w14:paraId="6DA2D041" w14:textId="77777777" w:rsidTr="00920D6F">
        <w:trPr>
          <w:trHeight w:val="300"/>
        </w:trPr>
        <w:tc>
          <w:tcPr>
            <w:tcW w:w="4385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FBFBF"/>
            <w:vAlign w:val="center"/>
            <w:hideMark/>
          </w:tcPr>
          <w:p w14:paraId="402F0361" w14:textId="43778300" w:rsidR="00920D6F" w:rsidRPr="00920D6F" w:rsidRDefault="00920D6F" w:rsidP="00920D6F">
            <w:pPr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  <w:r w:rsidR="003633E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FBFBF"/>
            <w:vAlign w:val="center"/>
            <w:hideMark/>
          </w:tcPr>
          <w:p w14:paraId="66A179B3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994,678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FBFBF"/>
            <w:vAlign w:val="center"/>
            <w:hideMark/>
          </w:tcPr>
          <w:p w14:paraId="5BC6C395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1,020,806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FBFBF"/>
            <w:vAlign w:val="center"/>
            <w:hideMark/>
          </w:tcPr>
          <w:p w14:paraId="734A191F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26,128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EAEAE"/>
              <w:right w:val="single" w:sz="8" w:space="0" w:color="AEAEAE"/>
            </w:tcBorders>
            <w:shd w:val="clear" w:color="000000" w:fill="BFBFBF"/>
            <w:vAlign w:val="center"/>
            <w:hideMark/>
          </w:tcPr>
          <w:p w14:paraId="7CB2ACF9" w14:textId="77777777" w:rsidR="00920D6F" w:rsidRPr="00920D6F" w:rsidRDefault="00920D6F" w:rsidP="00920D6F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920D6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 w:eastAsia="en-GB"/>
              </w:rPr>
              <w:t>2.6</w:t>
            </w:r>
          </w:p>
        </w:tc>
      </w:tr>
    </w:tbl>
    <w:p w14:paraId="629884FD" w14:textId="33144C32" w:rsidR="001E00C1" w:rsidRPr="00127255" w:rsidRDefault="001E00C1" w:rsidP="00920D6F">
      <w:pPr>
        <w:pStyle w:val="EndnoteText"/>
        <w:pageBreakBefore/>
        <w:rPr>
          <w:rFonts w:ascii="Arial" w:hAnsi="Arial" w:cs="Arial"/>
          <w:b/>
          <w:kern w:val="28"/>
          <w:sz w:val="24"/>
          <w:szCs w:val="24"/>
        </w:rPr>
      </w:pPr>
    </w:p>
    <w:sectPr w:rsidR="001E00C1" w:rsidRPr="00127255" w:rsidSect="0038711A">
      <w:footerReference w:type="default" r:id="rId15"/>
      <w:pgSz w:w="11906" w:h="16838" w:code="9"/>
      <w:pgMar w:top="1276" w:right="1797" w:bottom="1440" w:left="179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A29D2" w14:textId="77777777" w:rsidR="00E268D9" w:rsidRDefault="00E268D9">
      <w:r>
        <w:separator/>
      </w:r>
    </w:p>
  </w:endnote>
  <w:endnote w:type="continuationSeparator" w:id="0">
    <w:p w14:paraId="1D907E4A" w14:textId="77777777" w:rsidR="00E268D9" w:rsidRDefault="00E268D9">
      <w:r>
        <w:continuationSeparator/>
      </w:r>
    </w:p>
  </w:endnote>
  <w:endnote w:type="continuationNotice" w:id="1">
    <w:p w14:paraId="6507F37B" w14:textId="77777777" w:rsidR="00E268D9" w:rsidRDefault="00E268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C04B" w14:textId="77777777" w:rsidR="00127451" w:rsidRPr="004179D6" w:rsidRDefault="00127451">
    <w:pPr>
      <w:pStyle w:val="Footer"/>
      <w:jc w:val="center"/>
      <w:rPr>
        <w:rFonts w:ascii="Arial" w:hAnsi="Arial" w:cs="Arial"/>
      </w:rPr>
    </w:pPr>
    <w:r w:rsidRPr="004179D6">
      <w:rPr>
        <w:rFonts w:ascii="Arial" w:hAnsi="Arial" w:cs="Arial"/>
      </w:rPr>
      <w:fldChar w:fldCharType="begin"/>
    </w:r>
    <w:r w:rsidRPr="004179D6">
      <w:rPr>
        <w:rFonts w:ascii="Arial" w:hAnsi="Arial" w:cs="Arial"/>
      </w:rPr>
      <w:instrText xml:space="preserve"> PAGE   \* MERGEFORMAT </w:instrText>
    </w:r>
    <w:r w:rsidRPr="004179D6">
      <w:rPr>
        <w:rFonts w:ascii="Arial" w:hAnsi="Arial" w:cs="Arial"/>
      </w:rPr>
      <w:fldChar w:fldCharType="separate"/>
    </w:r>
    <w:r w:rsidRPr="004179D6">
      <w:rPr>
        <w:rFonts w:ascii="Arial" w:hAnsi="Arial" w:cs="Arial"/>
        <w:noProof/>
      </w:rPr>
      <w:t>2</w:t>
    </w:r>
    <w:r w:rsidRPr="004179D6">
      <w:rPr>
        <w:rFonts w:ascii="Arial" w:hAnsi="Arial" w:cs="Arial"/>
        <w:noProof/>
      </w:rPr>
      <w:fldChar w:fldCharType="end"/>
    </w:r>
  </w:p>
  <w:p w14:paraId="605DC806" w14:textId="77777777" w:rsidR="00127451" w:rsidRDefault="0012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7C5F" w14:textId="77777777" w:rsidR="00E268D9" w:rsidRDefault="00E268D9">
      <w:r>
        <w:separator/>
      </w:r>
    </w:p>
  </w:footnote>
  <w:footnote w:type="continuationSeparator" w:id="0">
    <w:p w14:paraId="3FE542C0" w14:textId="77777777" w:rsidR="00E268D9" w:rsidRDefault="00E268D9">
      <w:r>
        <w:continuationSeparator/>
      </w:r>
    </w:p>
  </w:footnote>
  <w:footnote w:type="continuationNotice" w:id="1">
    <w:p w14:paraId="510D0DBC" w14:textId="77777777" w:rsidR="00E268D9" w:rsidRDefault="00E268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D5F"/>
    <w:multiLevelType w:val="multilevel"/>
    <w:tmpl w:val="A754EE48"/>
    <w:lvl w:ilvl="0">
      <w:start w:val="1"/>
      <w:numFmt w:val="decimal"/>
      <w:lvlRestart w:val="0"/>
      <w:pStyle w:val="DfESOutNumbered1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4B377C8"/>
    <w:multiLevelType w:val="hybridMultilevel"/>
    <w:tmpl w:val="259880E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792149"/>
    <w:multiLevelType w:val="hybridMultilevel"/>
    <w:tmpl w:val="5C7C800C"/>
    <w:lvl w:ilvl="0" w:tplc="E8F6DCCA">
      <w:start w:val="1"/>
      <w:numFmt w:val="bullet"/>
      <w:pStyle w:val="ListBullet"/>
      <w:lvlText w:val=""/>
      <w:lvlJc w:val="left"/>
      <w:pPr>
        <w:tabs>
          <w:tab w:val="num" w:pos="1538"/>
        </w:tabs>
        <w:ind w:left="1538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3" w15:restartNumberingAfterBreak="0">
    <w:nsid w:val="4BCF19CD"/>
    <w:multiLevelType w:val="hybridMultilevel"/>
    <w:tmpl w:val="0388B110"/>
    <w:styleLink w:val="LFO25"/>
    <w:lvl w:ilvl="0" w:tplc="4CF2754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7E8E3C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12032D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14146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B4C37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083618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C47BE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4BA90FE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502706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E9156A1"/>
    <w:multiLevelType w:val="hybridMultilevel"/>
    <w:tmpl w:val="54F6E85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571137F"/>
    <w:multiLevelType w:val="hybridMultilevel"/>
    <w:tmpl w:val="62E4275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A3D1B15"/>
    <w:multiLevelType w:val="multilevel"/>
    <w:tmpl w:val="DEB0C4DC"/>
    <w:lvl w:ilvl="0">
      <w:start w:val="1"/>
      <w:numFmt w:val="decimal"/>
      <w:pStyle w:val="Recpoint"/>
      <w:lvlText w:val="%1"/>
      <w:lvlJc w:val="left"/>
      <w:pPr>
        <w:tabs>
          <w:tab w:val="num" w:pos="720"/>
        </w:tabs>
        <w:ind w:left="720" w:hanging="720"/>
      </w:pPr>
      <w:rPr>
        <w:rFonts w:ascii="Gill Sans MT" w:hAnsi="Gill Sans MT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7EB694F"/>
    <w:multiLevelType w:val="hybridMultilevel"/>
    <w:tmpl w:val="A82C098E"/>
    <w:lvl w:ilvl="0" w:tplc="EC446F2E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06A90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0A10B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2843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B6615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B8A18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2C12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52C9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ECFB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6950D9"/>
    <w:multiLevelType w:val="multilevel"/>
    <w:tmpl w:val="A70C0CC8"/>
    <w:lvl w:ilvl="0">
      <w:start w:val="1"/>
      <w:numFmt w:val="decimal"/>
      <w:pStyle w:val="Heading1"/>
      <w:lvlText w:val="%1"/>
      <w:lvlJc w:val="left"/>
      <w:pPr>
        <w:tabs>
          <w:tab w:val="num" w:pos="2843"/>
        </w:tabs>
        <w:ind w:left="2843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sz w:val="24"/>
        <w:szCs w:val="24"/>
      </w:rPr>
    </w:lvl>
    <w:lvl w:ilvl="2">
      <w:start w:val="1"/>
      <w:numFmt w:val="bullet"/>
      <w:pStyle w:val="Heading3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31C4C38"/>
    <w:multiLevelType w:val="hybridMultilevel"/>
    <w:tmpl w:val="901CF86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1A6791"/>
    <w:multiLevelType w:val="multilevel"/>
    <w:tmpl w:val="D6E23894"/>
    <w:lvl w:ilvl="0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BB141E"/>
    <w:multiLevelType w:val="hybridMultilevel"/>
    <w:tmpl w:val="E6528D44"/>
    <w:lvl w:ilvl="0" w:tplc="037604F0">
      <w:start w:val="1"/>
      <w:numFmt w:val="lowerRoman"/>
      <w:pStyle w:val="ListRoman"/>
      <w:lvlText w:val="%1)"/>
      <w:lvlJc w:val="left"/>
      <w:pPr>
        <w:tabs>
          <w:tab w:val="num" w:pos="1440"/>
        </w:tabs>
        <w:ind w:left="1440" w:hanging="720"/>
      </w:pPr>
    </w:lvl>
    <w:lvl w:ilvl="1" w:tplc="CBBC750C">
      <w:numFmt w:val="decimal"/>
      <w:lvlText w:val=""/>
      <w:lvlJc w:val="left"/>
    </w:lvl>
    <w:lvl w:ilvl="2" w:tplc="A8EC173C">
      <w:numFmt w:val="decimal"/>
      <w:lvlText w:val=""/>
      <w:lvlJc w:val="left"/>
    </w:lvl>
    <w:lvl w:ilvl="3" w:tplc="A704B21C">
      <w:numFmt w:val="decimal"/>
      <w:lvlText w:val=""/>
      <w:lvlJc w:val="left"/>
    </w:lvl>
    <w:lvl w:ilvl="4" w:tplc="8C4A6788">
      <w:numFmt w:val="decimal"/>
      <w:lvlText w:val=""/>
      <w:lvlJc w:val="left"/>
    </w:lvl>
    <w:lvl w:ilvl="5" w:tplc="3AF8873A">
      <w:numFmt w:val="decimal"/>
      <w:lvlText w:val=""/>
      <w:lvlJc w:val="left"/>
    </w:lvl>
    <w:lvl w:ilvl="6" w:tplc="51CC883C">
      <w:numFmt w:val="decimal"/>
      <w:lvlText w:val=""/>
      <w:lvlJc w:val="left"/>
    </w:lvl>
    <w:lvl w:ilvl="7" w:tplc="F6FEFD76">
      <w:numFmt w:val="decimal"/>
      <w:lvlText w:val=""/>
      <w:lvlJc w:val="left"/>
    </w:lvl>
    <w:lvl w:ilvl="8" w:tplc="5E102940">
      <w:numFmt w:val="decimal"/>
      <w:lvlText w:val=""/>
      <w:lvlJc w:val="left"/>
    </w:lvl>
  </w:abstractNum>
  <w:num w:numId="1" w16cid:durableId="1066030222">
    <w:abstractNumId w:val="6"/>
  </w:num>
  <w:num w:numId="2" w16cid:durableId="1341589358">
    <w:abstractNumId w:val="10"/>
  </w:num>
  <w:num w:numId="3" w16cid:durableId="2008942374">
    <w:abstractNumId w:val="11"/>
  </w:num>
  <w:num w:numId="4" w16cid:durableId="622228952">
    <w:abstractNumId w:val="7"/>
  </w:num>
  <w:num w:numId="5" w16cid:durableId="1873688771">
    <w:abstractNumId w:val="2"/>
  </w:num>
  <w:num w:numId="6" w16cid:durableId="1180584418">
    <w:abstractNumId w:val="8"/>
  </w:num>
  <w:num w:numId="7" w16cid:durableId="1634216883">
    <w:abstractNumId w:val="3"/>
  </w:num>
  <w:num w:numId="8" w16cid:durableId="457266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6763729">
    <w:abstractNumId w:val="9"/>
  </w:num>
  <w:num w:numId="10" w16cid:durableId="1727951439">
    <w:abstractNumId w:val="4"/>
  </w:num>
  <w:num w:numId="11" w16cid:durableId="195847656">
    <w:abstractNumId w:val="1"/>
  </w:num>
  <w:num w:numId="12" w16cid:durableId="105211603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76"/>
    <w:rsid w:val="0000015F"/>
    <w:rsid w:val="00000D09"/>
    <w:rsid w:val="00000E29"/>
    <w:rsid w:val="00001CB0"/>
    <w:rsid w:val="000038C3"/>
    <w:rsid w:val="00003BE7"/>
    <w:rsid w:val="00003CD2"/>
    <w:rsid w:val="00003D4F"/>
    <w:rsid w:val="00004760"/>
    <w:rsid w:val="00004FAA"/>
    <w:rsid w:val="00005283"/>
    <w:rsid w:val="00005287"/>
    <w:rsid w:val="00005B68"/>
    <w:rsid w:val="00006305"/>
    <w:rsid w:val="00006802"/>
    <w:rsid w:val="00006A0B"/>
    <w:rsid w:val="0000709F"/>
    <w:rsid w:val="0000717F"/>
    <w:rsid w:val="00007507"/>
    <w:rsid w:val="000076C4"/>
    <w:rsid w:val="00007AEF"/>
    <w:rsid w:val="00010779"/>
    <w:rsid w:val="0001081C"/>
    <w:rsid w:val="00011852"/>
    <w:rsid w:val="0001282F"/>
    <w:rsid w:val="0001308E"/>
    <w:rsid w:val="0001313E"/>
    <w:rsid w:val="0001419E"/>
    <w:rsid w:val="000150FA"/>
    <w:rsid w:val="00015AC5"/>
    <w:rsid w:val="00015B79"/>
    <w:rsid w:val="00016E4E"/>
    <w:rsid w:val="00017B33"/>
    <w:rsid w:val="00017D33"/>
    <w:rsid w:val="00022364"/>
    <w:rsid w:val="000227B5"/>
    <w:rsid w:val="0002328D"/>
    <w:rsid w:val="00023ABF"/>
    <w:rsid w:val="00023FAC"/>
    <w:rsid w:val="00024BE8"/>
    <w:rsid w:val="00024CC8"/>
    <w:rsid w:val="000272E2"/>
    <w:rsid w:val="000272FD"/>
    <w:rsid w:val="000279E3"/>
    <w:rsid w:val="00027AC8"/>
    <w:rsid w:val="00027E8D"/>
    <w:rsid w:val="0003000D"/>
    <w:rsid w:val="0003094E"/>
    <w:rsid w:val="00030DDE"/>
    <w:rsid w:val="00031589"/>
    <w:rsid w:val="00032AE0"/>
    <w:rsid w:val="0003322B"/>
    <w:rsid w:val="00033619"/>
    <w:rsid w:val="000341CF"/>
    <w:rsid w:val="00034CB1"/>
    <w:rsid w:val="00034E36"/>
    <w:rsid w:val="00035D55"/>
    <w:rsid w:val="00035DEA"/>
    <w:rsid w:val="00036692"/>
    <w:rsid w:val="00036AB1"/>
    <w:rsid w:val="00036EA6"/>
    <w:rsid w:val="00040368"/>
    <w:rsid w:val="00040759"/>
    <w:rsid w:val="000419DC"/>
    <w:rsid w:val="0004231B"/>
    <w:rsid w:val="00042615"/>
    <w:rsid w:val="000426E1"/>
    <w:rsid w:val="000430C4"/>
    <w:rsid w:val="00043681"/>
    <w:rsid w:val="00043B05"/>
    <w:rsid w:val="00044107"/>
    <w:rsid w:val="00044377"/>
    <w:rsid w:val="00044E68"/>
    <w:rsid w:val="000455B3"/>
    <w:rsid w:val="00045833"/>
    <w:rsid w:val="00045CCD"/>
    <w:rsid w:val="000466E5"/>
    <w:rsid w:val="00046B4F"/>
    <w:rsid w:val="000473A5"/>
    <w:rsid w:val="00047CE1"/>
    <w:rsid w:val="00050009"/>
    <w:rsid w:val="00050698"/>
    <w:rsid w:val="00050943"/>
    <w:rsid w:val="00051A78"/>
    <w:rsid w:val="00052A57"/>
    <w:rsid w:val="00053793"/>
    <w:rsid w:val="00053A2B"/>
    <w:rsid w:val="0005416B"/>
    <w:rsid w:val="000570C5"/>
    <w:rsid w:val="0006071D"/>
    <w:rsid w:val="00061429"/>
    <w:rsid w:val="00062201"/>
    <w:rsid w:val="00062DA2"/>
    <w:rsid w:val="0006362B"/>
    <w:rsid w:val="0006362F"/>
    <w:rsid w:val="00063ACE"/>
    <w:rsid w:val="00064A67"/>
    <w:rsid w:val="00064AEA"/>
    <w:rsid w:val="00064EA8"/>
    <w:rsid w:val="000661CF"/>
    <w:rsid w:val="000664B1"/>
    <w:rsid w:val="00066A49"/>
    <w:rsid w:val="00066DEA"/>
    <w:rsid w:val="0007067E"/>
    <w:rsid w:val="00070B48"/>
    <w:rsid w:val="00070EF1"/>
    <w:rsid w:val="00071084"/>
    <w:rsid w:val="0007127C"/>
    <w:rsid w:val="000715D2"/>
    <w:rsid w:val="00071790"/>
    <w:rsid w:val="00071905"/>
    <w:rsid w:val="00072407"/>
    <w:rsid w:val="00072A0D"/>
    <w:rsid w:val="0007323A"/>
    <w:rsid w:val="00073E0C"/>
    <w:rsid w:val="00074542"/>
    <w:rsid w:val="00074EB6"/>
    <w:rsid w:val="00074FA6"/>
    <w:rsid w:val="000752BE"/>
    <w:rsid w:val="00075390"/>
    <w:rsid w:val="000754B5"/>
    <w:rsid w:val="00076FA4"/>
    <w:rsid w:val="000772A0"/>
    <w:rsid w:val="00077D3B"/>
    <w:rsid w:val="00077EE9"/>
    <w:rsid w:val="00080840"/>
    <w:rsid w:val="00080CCD"/>
    <w:rsid w:val="00080DEC"/>
    <w:rsid w:val="00080E04"/>
    <w:rsid w:val="0008154B"/>
    <w:rsid w:val="00081772"/>
    <w:rsid w:val="00081866"/>
    <w:rsid w:val="000819CB"/>
    <w:rsid w:val="00081A0A"/>
    <w:rsid w:val="00081C3D"/>
    <w:rsid w:val="000832AF"/>
    <w:rsid w:val="00083699"/>
    <w:rsid w:val="00084875"/>
    <w:rsid w:val="00085306"/>
    <w:rsid w:val="0008642F"/>
    <w:rsid w:val="00087177"/>
    <w:rsid w:val="00090C58"/>
    <w:rsid w:val="000913FE"/>
    <w:rsid w:val="000928B7"/>
    <w:rsid w:val="00092995"/>
    <w:rsid w:val="00092A85"/>
    <w:rsid w:val="00093217"/>
    <w:rsid w:val="000938C6"/>
    <w:rsid w:val="00093A75"/>
    <w:rsid w:val="0009404C"/>
    <w:rsid w:val="000947C7"/>
    <w:rsid w:val="00094BA9"/>
    <w:rsid w:val="00096A22"/>
    <w:rsid w:val="00097583"/>
    <w:rsid w:val="00097F85"/>
    <w:rsid w:val="000A045A"/>
    <w:rsid w:val="000A0EFF"/>
    <w:rsid w:val="000A1CCC"/>
    <w:rsid w:val="000A2082"/>
    <w:rsid w:val="000A4596"/>
    <w:rsid w:val="000A4BF9"/>
    <w:rsid w:val="000A524F"/>
    <w:rsid w:val="000A53D4"/>
    <w:rsid w:val="000A5AAB"/>
    <w:rsid w:val="000A721B"/>
    <w:rsid w:val="000A774B"/>
    <w:rsid w:val="000A785E"/>
    <w:rsid w:val="000B022B"/>
    <w:rsid w:val="000B023E"/>
    <w:rsid w:val="000B1051"/>
    <w:rsid w:val="000B177C"/>
    <w:rsid w:val="000B1C16"/>
    <w:rsid w:val="000B1D75"/>
    <w:rsid w:val="000B1E6B"/>
    <w:rsid w:val="000B2300"/>
    <w:rsid w:val="000B28C3"/>
    <w:rsid w:val="000B2A1A"/>
    <w:rsid w:val="000B2A64"/>
    <w:rsid w:val="000B2DBC"/>
    <w:rsid w:val="000B2F18"/>
    <w:rsid w:val="000B39D8"/>
    <w:rsid w:val="000B41F1"/>
    <w:rsid w:val="000B486B"/>
    <w:rsid w:val="000B5BC6"/>
    <w:rsid w:val="000B60B0"/>
    <w:rsid w:val="000B72CD"/>
    <w:rsid w:val="000B7364"/>
    <w:rsid w:val="000C06AB"/>
    <w:rsid w:val="000C0BC0"/>
    <w:rsid w:val="000C0C4D"/>
    <w:rsid w:val="000C15CC"/>
    <w:rsid w:val="000C290D"/>
    <w:rsid w:val="000C2AA5"/>
    <w:rsid w:val="000C2AAF"/>
    <w:rsid w:val="000C2CCC"/>
    <w:rsid w:val="000C3B63"/>
    <w:rsid w:val="000C400E"/>
    <w:rsid w:val="000C42C3"/>
    <w:rsid w:val="000C4777"/>
    <w:rsid w:val="000C48E4"/>
    <w:rsid w:val="000C527F"/>
    <w:rsid w:val="000C5F33"/>
    <w:rsid w:val="000C6822"/>
    <w:rsid w:val="000C6C46"/>
    <w:rsid w:val="000C6F30"/>
    <w:rsid w:val="000C7E1D"/>
    <w:rsid w:val="000D07ED"/>
    <w:rsid w:val="000D1B3C"/>
    <w:rsid w:val="000D28ED"/>
    <w:rsid w:val="000D2A31"/>
    <w:rsid w:val="000D3A0D"/>
    <w:rsid w:val="000D3D78"/>
    <w:rsid w:val="000D46CA"/>
    <w:rsid w:val="000D4725"/>
    <w:rsid w:val="000D4C45"/>
    <w:rsid w:val="000D51B9"/>
    <w:rsid w:val="000D5852"/>
    <w:rsid w:val="000D610C"/>
    <w:rsid w:val="000D681E"/>
    <w:rsid w:val="000D6BBD"/>
    <w:rsid w:val="000D7886"/>
    <w:rsid w:val="000D79C6"/>
    <w:rsid w:val="000E00D7"/>
    <w:rsid w:val="000E02A2"/>
    <w:rsid w:val="000E03AB"/>
    <w:rsid w:val="000E143E"/>
    <w:rsid w:val="000E1483"/>
    <w:rsid w:val="000E1849"/>
    <w:rsid w:val="000E1F95"/>
    <w:rsid w:val="000E2196"/>
    <w:rsid w:val="000E28C2"/>
    <w:rsid w:val="000E29DE"/>
    <w:rsid w:val="000E2D8F"/>
    <w:rsid w:val="000E30EE"/>
    <w:rsid w:val="000E339A"/>
    <w:rsid w:val="000E3828"/>
    <w:rsid w:val="000E39EA"/>
    <w:rsid w:val="000E3BC3"/>
    <w:rsid w:val="000E601C"/>
    <w:rsid w:val="000E650E"/>
    <w:rsid w:val="000E65E5"/>
    <w:rsid w:val="000E6892"/>
    <w:rsid w:val="000E7C7B"/>
    <w:rsid w:val="000F037B"/>
    <w:rsid w:val="000F0387"/>
    <w:rsid w:val="000F06B7"/>
    <w:rsid w:val="000F0779"/>
    <w:rsid w:val="000F0E84"/>
    <w:rsid w:val="000F136A"/>
    <w:rsid w:val="000F1D1C"/>
    <w:rsid w:val="000F1DD2"/>
    <w:rsid w:val="000F436D"/>
    <w:rsid w:val="000F43BC"/>
    <w:rsid w:val="000F4D62"/>
    <w:rsid w:val="000F503D"/>
    <w:rsid w:val="000F6539"/>
    <w:rsid w:val="000F7305"/>
    <w:rsid w:val="00100697"/>
    <w:rsid w:val="00100A7F"/>
    <w:rsid w:val="001010EA"/>
    <w:rsid w:val="00101E5F"/>
    <w:rsid w:val="001021E3"/>
    <w:rsid w:val="00102631"/>
    <w:rsid w:val="00103760"/>
    <w:rsid w:val="00103807"/>
    <w:rsid w:val="00105C17"/>
    <w:rsid w:val="00107944"/>
    <w:rsid w:val="00107C12"/>
    <w:rsid w:val="00110311"/>
    <w:rsid w:val="00110A46"/>
    <w:rsid w:val="00110A68"/>
    <w:rsid w:val="00110E01"/>
    <w:rsid w:val="00111758"/>
    <w:rsid w:val="00112067"/>
    <w:rsid w:val="00113026"/>
    <w:rsid w:val="00115684"/>
    <w:rsid w:val="00115711"/>
    <w:rsid w:val="001164BC"/>
    <w:rsid w:val="00116BFC"/>
    <w:rsid w:val="001170C1"/>
    <w:rsid w:val="001176D1"/>
    <w:rsid w:val="00117A28"/>
    <w:rsid w:val="00117EE0"/>
    <w:rsid w:val="00120C65"/>
    <w:rsid w:val="00120DB6"/>
    <w:rsid w:val="0012133A"/>
    <w:rsid w:val="00121854"/>
    <w:rsid w:val="00122239"/>
    <w:rsid w:val="0012322B"/>
    <w:rsid w:val="00123C3F"/>
    <w:rsid w:val="00124F02"/>
    <w:rsid w:val="001252C7"/>
    <w:rsid w:val="00125776"/>
    <w:rsid w:val="00125A3F"/>
    <w:rsid w:val="00125CB4"/>
    <w:rsid w:val="00125F27"/>
    <w:rsid w:val="00126B89"/>
    <w:rsid w:val="00126EBE"/>
    <w:rsid w:val="00127255"/>
    <w:rsid w:val="00127451"/>
    <w:rsid w:val="00127726"/>
    <w:rsid w:val="00127DBB"/>
    <w:rsid w:val="0013037F"/>
    <w:rsid w:val="00130A74"/>
    <w:rsid w:val="001339F7"/>
    <w:rsid w:val="00134189"/>
    <w:rsid w:val="001341C6"/>
    <w:rsid w:val="00135A53"/>
    <w:rsid w:val="00135E9A"/>
    <w:rsid w:val="001361CE"/>
    <w:rsid w:val="00136471"/>
    <w:rsid w:val="00137511"/>
    <w:rsid w:val="0013754C"/>
    <w:rsid w:val="0014014E"/>
    <w:rsid w:val="001407FE"/>
    <w:rsid w:val="00140D2C"/>
    <w:rsid w:val="00141055"/>
    <w:rsid w:val="00141632"/>
    <w:rsid w:val="00141C59"/>
    <w:rsid w:val="00141DFF"/>
    <w:rsid w:val="00142D31"/>
    <w:rsid w:val="00142DC7"/>
    <w:rsid w:val="00144226"/>
    <w:rsid w:val="00145388"/>
    <w:rsid w:val="00146200"/>
    <w:rsid w:val="0014621E"/>
    <w:rsid w:val="00147DB1"/>
    <w:rsid w:val="00147E1B"/>
    <w:rsid w:val="00150372"/>
    <w:rsid w:val="001509EB"/>
    <w:rsid w:val="001516B4"/>
    <w:rsid w:val="001518B5"/>
    <w:rsid w:val="00152C4A"/>
    <w:rsid w:val="00153114"/>
    <w:rsid w:val="0015450B"/>
    <w:rsid w:val="001549C6"/>
    <w:rsid w:val="00154DC3"/>
    <w:rsid w:val="0015543F"/>
    <w:rsid w:val="0015603A"/>
    <w:rsid w:val="00157065"/>
    <w:rsid w:val="00157BFF"/>
    <w:rsid w:val="00157C32"/>
    <w:rsid w:val="0016050D"/>
    <w:rsid w:val="00161A9E"/>
    <w:rsid w:val="00161F41"/>
    <w:rsid w:val="001632A8"/>
    <w:rsid w:val="00163EFF"/>
    <w:rsid w:val="00164533"/>
    <w:rsid w:val="00165142"/>
    <w:rsid w:val="00165985"/>
    <w:rsid w:val="001665B7"/>
    <w:rsid w:val="0016698F"/>
    <w:rsid w:val="0016726A"/>
    <w:rsid w:val="00167635"/>
    <w:rsid w:val="00167886"/>
    <w:rsid w:val="00167B76"/>
    <w:rsid w:val="00167EB8"/>
    <w:rsid w:val="00170901"/>
    <w:rsid w:val="00170F4E"/>
    <w:rsid w:val="00171A37"/>
    <w:rsid w:val="00171AEC"/>
    <w:rsid w:val="00171D13"/>
    <w:rsid w:val="00171D25"/>
    <w:rsid w:val="00171E7A"/>
    <w:rsid w:val="0017223C"/>
    <w:rsid w:val="001723B2"/>
    <w:rsid w:val="001728DE"/>
    <w:rsid w:val="00173088"/>
    <w:rsid w:val="001732F9"/>
    <w:rsid w:val="0017342D"/>
    <w:rsid w:val="001734A2"/>
    <w:rsid w:val="00174326"/>
    <w:rsid w:val="00174C03"/>
    <w:rsid w:val="0017580F"/>
    <w:rsid w:val="001758EA"/>
    <w:rsid w:val="001763B2"/>
    <w:rsid w:val="00176443"/>
    <w:rsid w:val="001812B1"/>
    <w:rsid w:val="0018248A"/>
    <w:rsid w:val="00182D8A"/>
    <w:rsid w:val="00183659"/>
    <w:rsid w:val="0018435D"/>
    <w:rsid w:val="001852B2"/>
    <w:rsid w:val="00185DB3"/>
    <w:rsid w:val="00186E92"/>
    <w:rsid w:val="00186F13"/>
    <w:rsid w:val="00186F47"/>
    <w:rsid w:val="00187D93"/>
    <w:rsid w:val="0019072F"/>
    <w:rsid w:val="00192C19"/>
    <w:rsid w:val="00193E2F"/>
    <w:rsid w:val="001949B5"/>
    <w:rsid w:val="00195FDC"/>
    <w:rsid w:val="00197003"/>
    <w:rsid w:val="0019701E"/>
    <w:rsid w:val="0019780F"/>
    <w:rsid w:val="001A031A"/>
    <w:rsid w:val="001A095C"/>
    <w:rsid w:val="001A2779"/>
    <w:rsid w:val="001A2D07"/>
    <w:rsid w:val="001A2E1D"/>
    <w:rsid w:val="001A53D8"/>
    <w:rsid w:val="001A5480"/>
    <w:rsid w:val="001A5508"/>
    <w:rsid w:val="001A67E5"/>
    <w:rsid w:val="001A775A"/>
    <w:rsid w:val="001A77A5"/>
    <w:rsid w:val="001B0DE9"/>
    <w:rsid w:val="001B0ED6"/>
    <w:rsid w:val="001B137E"/>
    <w:rsid w:val="001B1F65"/>
    <w:rsid w:val="001B2104"/>
    <w:rsid w:val="001B25E6"/>
    <w:rsid w:val="001B2D2D"/>
    <w:rsid w:val="001B2F46"/>
    <w:rsid w:val="001B4037"/>
    <w:rsid w:val="001B4BD7"/>
    <w:rsid w:val="001B4BE5"/>
    <w:rsid w:val="001B4F96"/>
    <w:rsid w:val="001B5044"/>
    <w:rsid w:val="001B56A4"/>
    <w:rsid w:val="001B5928"/>
    <w:rsid w:val="001B6E06"/>
    <w:rsid w:val="001B72CF"/>
    <w:rsid w:val="001B7912"/>
    <w:rsid w:val="001C0EE0"/>
    <w:rsid w:val="001C123C"/>
    <w:rsid w:val="001C183D"/>
    <w:rsid w:val="001C19EE"/>
    <w:rsid w:val="001C1CDF"/>
    <w:rsid w:val="001C2466"/>
    <w:rsid w:val="001C2CC3"/>
    <w:rsid w:val="001C37B1"/>
    <w:rsid w:val="001C3BD9"/>
    <w:rsid w:val="001C420F"/>
    <w:rsid w:val="001C434D"/>
    <w:rsid w:val="001C49AC"/>
    <w:rsid w:val="001C69CA"/>
    <w:rsid w:val="001C6BFE"/>
    <w:rsid w:val="001C72AC"/>
    <w:rsid w:val="001C7411"/>
    <w:rsid w:val="001C7B4F"/>
    <w:rsid w:val="001D04C0"/>
    <w:rsid w:val="001D0673"/>
    <w:rsid w:val="001D0BC9"/>
    <w:rsid w:val="001D1FF5"/>
    <w:rsid w:val="001D2F33"/>
    <w:rsid w:val="001D39DF"/>
    <w:rsid w:val="001D3D25"/>
    <w:rsid w:val="001D3E10"/>
    <w:rsid w:val="001D41CD"/>
    <w:rsid w:val="001D4EE4"/>
    <w:rsid w:val="001D53FC"/>
    <w:rsid w:val="001D57C1"/>
    <w:rsid w:val="001D62E0"/>
    <w:rsid w:val="001D674F"/>
    <w:rsid w:val="001D687C"/>
    <w:rsid w:val="001D6909"/>
    <w:rsid w:val="001D7034"/>
    <w:rsid w:val="001D77D6"/>
    <w:rsid w:val="001E00C1"/>
    <w:rsid w:val="001E024A"/>
    <w:rsid w:val="001E0C0D"/>
    <w:rsid w:val="001E1A08"/>
    <w:rsid w:val="001E1BB2"/>
    <w:rsid w:val="001E1BED"/>
    <w:rsid w:val="001E23F1"/>
    <w:rsid w:val="001E243C"/>
    <w:rsid w:val="001E2453"/>
    <w:rsid w:val="001E2489"/>
    <w:rsid w:val="001E26A9"/>
    <w:rsid w:val="001E2C17"/>
    <w:rsid w:val="001E2D43"/>
    <w:rsid w:val="001E2D55"/>
    <w:rsid w:val="001E2F6E"/>
    <w:rsid w:val="001E2F76"/>
    <w:rsid w:val="001E307E"/>
    <w:rsid w:val="001E34C8"/>
    <w:rsid w:val="001E35D2"/>
    <w:rsid w:val="001E3FD2"/>
    <w:rsid w:val="001E3FF2"/>
    <w:rsid w:val="001E4303"/>
    <w:rsid w:val="001E5B63"/>
    <w:rsid w:val="001E6BDE"/>
    <w:rsid w:val="001E6D85"/>
    <w:rsid w:val="001E6EA2"/>
    <w:rsid w:val="001E7A17"/>
    <w:rsid w:val="001F04DE"/>
    <w:rsid w:val="001F0FC5"/>
    <w:rsid w:val="001F1277"/>
    <w:rsid w:val="001F133E"/>
    <w:rsid w:val="001F1518"/>
    <w:rsid w:val="001F2B5C"/>
    <w:rsid w:val="001F2CC2"/>
    <w:rsid w:val="001F3E32"/>
    <w:rsid w:val="001F451E"/>
    <w:rsid w:val="001F4AF8"/>
    <w:rsid w:val="001F4DE3"/>
    <w:rsid w:val="001F5E04"/>
    <w:rsid w:val="001F6066"/>
    <w:rsid w:val="001F6FA0"/>
    <w:rsid w:val="00201474"/>
    <w:rsid w:val="0020150C"/>
    <w:rsid w:val="00201D2A"/>
    <w:rsid w:val="00202577"/>
    <w:rsid w:val="0020311B"/>
    <w:rsid w:val="002039B1"/>
    <w:rsid w:val="00203E19"/>
    <w:rsid w:val="00204831"/>
    <w:rsid w:val="00204E25"/>
    <w:rsid w:val="0020546C"/>
    <w:rsid w:val="00205C05"/>
    <w:rsid w:val="00206715"/>
    <w:rsid w:val="00206CC0"/>
    <w:rsid w:val="0020786A"/>
    <w:rsid w:val="00210B49"/>
    <w:rsid w:val="00210C28"/>
    <w:rsid w:val="00210E00"/>
    <w:rsid w:val="00211DCC"/>
    <w:rsid w:val="002120A8"/>
    <w:rsid w:val="00212ACA"/>
    <w:rsid w:val="00212CF3"/>
    <w:rsid w:val="002133D3"/>
    <w:rsid w:val="002136C2"/>
    <w:rsid w:val="0021408E"/>
    <w:rsid w:val="002165D1"/>
    <w:rsid w:val="00216F03"/>
    <w:rsid w:val="00217D42"/>
    <w:rsid w:val="00217F44"/>
    <w:rsid w:val="00220ECB"/>
    <w:rsid w:val="00221D96"/>
    <w:rsid w:val="00221F0F"/>
    <w:rsid w:val="00222856"/>
    <w:rsid w:val="00222B5C"/>
    <w:rsid w:val="00223374"/>
    <w:rsid w:val="002233D6"/>
    <w:rsid w:val="002235E4"/>
    <w:rsid w:val="00223A64"/>
    <w:rsid w:val="002241A4"/>
    <w:rsid w:val="002247D6"/>
    <w:rsid w:val="00225086"/>
    <w:rsid w:val="002253CB"/>
    <w:rsid w:val="00225641"/>
    <w:rsid w:val="00225FBC"/>
    <w:rsid w:val="00226396"/>
    <w:rsid w:val="00226A58"/>
    <w:rsid w:val="00226F74"/>
    <w:rsid w:val="0022791E"/>
    <w:rsid w:val="00227B02"/>
    <w:rsid w:val="00227D46"/>
    <w:rsid w:val="00230258"/>
    <w:rsid w:val="002307FF"/>
    <w:rsid w:val="0023124C"/>
    <w:rsid w:val="002313EC"/>
    <w:rsid w:val="002318C7"/>
    <w:rsid w:val="00231952"/>
    <w:rsid w:val="00231A1E"/>
    <w:rsid w:val="00231CAD"/>
    <w:rsid w:val="00231CE6"/>
    <w:rsid w:val="00232AC7"/>
    <w:rsid w:val="00232D04"/>
    <w:rsid w:val="00232F74"/>
    <w:rsid w:val="00232F8D"/>
    <w:rsid w:val="00234392"/>
    <w:rsid w:val="0023542A"/>
    <w:rsid w:val="00235F2D"/>
    <w:rsid w:val="00236736"/>
    <w:rsid w:val="00236F09"/>
    <w:rsid w:val="00237121"/>
    <w:rsid w:val="00237134"/>
    <w:rsid w:val="0023751B"/>
    <w:rsid w:val="00237761"/>
    <w:rsid w:val="0024019C"/>
    <w:rsid w:val="0024026E"/>
    <w:rsid w:val="0024112D"/>
    <w:rsid w:val="002411C8"/>
    <w:rsid w:val="00241779"/>
    <w:rsid w:val="002419C2"/>
    <w:rsid w:val="002430D3"/>
    <w:rsid w:val="0024446E"/>
    <w:rsid w:val="0024590D"/>
    <w:rsid w:val="00246104"/>
    <w:rsid w:val="00246598"/>
    <w:rsid w:val="0024676F"/>
    <w:rsid w:val="0024697D"/>
    <w:rsid w:val="00246A47"/>
    <w:rsid w:val="0025113A"/>
    <w:rsid w:val="00252467"/>
    <w:rsid w:val="0025250A"/>
    <w:rsid w:val="00253022"/>
    <w:rsid w:val="00254B69"/>
    <w:rsid w:val="00255FFE"/>
    <w:rsid w:val="0025651A"/>
    <w:rsid w:val="002568B8"/>
    <w:rsid w:val="00256B6A"/>
    <w:rsid w:val="00257050"/>
    <w:rsid w:val="00257760"/>
    <w:rsid w:val="00257C81"/>
    <w:rsid w:val="00260121"/>
    <w:rsid w:val="0026107E"/>
    <w:rsid w:val="00261262"/>
    <w:rsid w:val="002622D3"/>
    <w:rsid w:val="002623EE"/>
    <w:rsid w:val="00262DDA"/>
    <w:rsid w:val="00263A94"/>
    <w:rsid w:val="002645F7"/>
    <w:rsid w:val="00266EF1"/>
    <w:rsid w:val="00266F0B"/>
    <w:rsid w:val="002673EF"/>
    <w:rsid w:val="00267A18"/>
    <w:rsid w:val="00267EBA"/>
    <w:rsid w:val="002703E1"/>
    <w:rsid w:val="00271B27"/>
    <w:rsid w:val="002720DF"/>
    <w:rsid w:val="0027274E"/>
    <w:rsid w:val="00273024"/>
    <w:rsid w:val="00273202"/>
    <w:rsid w:val="0027324D"/>
    <w:rsid w:val="00273D6D"/>
    <w:rsid w:val="002756CA"/>
    <w:rsid w:val="00276038"/>
    <w:rsid w:val="00277000"/>
    <w:rsid w:val="00280131"/>
    <w:rsid w:val="0028026B"/>
    <w:rsid w:val="002807E7"/>
    <w:rsid w:val="00280E11"/>
    <w:rsid w:val="00282880"/>
    <w:rsid w:val="00282FF8"/>
    <w:rsid w:val="0028318D"/>
    <w:rsid w:val="002831C6"/>
    <w:rsid w:val="002833BC"/>
    <w:rsid w:val="00284644"/>
    <w:rsid w:val="002868D4"/>
    <w:rsid w:val="00286960"/>
    <w:rsid w:val="00286C02"/>
    <w:rsid w:val="002871CD"/>
    <w:rsid w:val="00287E2F"/>
    <w:rsid w:val="00287E57"/>
    <w:rsid w:val="002900E0"/>
    <w:rsid w:val="00290360"/>
    <w:rsid w:val="00290E87"/>
    <w:rsid w:val="002911A0"/>
    <w:rsid w:val="00291788"/>
    <w:rsid w:val="00291ACB"/>
    <w:rsid w:val="00291CC7"/>
    <w:rsid w:val="00291FE0"/>
    <w:rsid w:val="00292A62"/>
    <w:rsid w:val="00293143"/>
    <w:rsid w:val="00293F20"/>
    <w:rsid w:val="00294AD1"/>
    <w:rsid w:val="002952D2"/>
    <w:rsid w:val="002958E7"/>
    <w:rsid w:val="00296209"/>
    <w:rsid w:val="002970AE"/>
    <w:rsid w:val="00297646"/>
    <w:rsid w:val="00297D8F"/>
    <w:rsid w:val="00297FD1"/>
    <w:rsid w:val="002A013B"/>
    <w:rsid w:val="002A0655"/>
    <w:rsid w:val="002A1739"/>
    <w:rsid w:val="002A1B3E"/>
    <w:rsid w:val="002A1C4F"/>
    <w:rsid w:val="002A1E87"/>
    <w:rsid w:val="002A2419"/>
    <w:rsid w:val="002A3441"/>
    <w:rsid w:val="002A4B97"/>
    <w:rsid w:val="002A4EDB"/>
    <w:rsid w:val="002A4FD9"/>
    <w:rsid w:val="002A5429"/>
    <w:rsid w:val="002A5AC7"/>
    <w:rsid w:val="002A5DB5"/>
    <w:rsid w:val="002A5E0F"/>
    <w:rsid w:val="002A6616"/>
    <w:rsid w:val="002A6958"/>
    <w:rsid w:val="002A6EF3"/>
    <w:rsid w:val="002A7DA8"/>
    <w:rsid w:val="002B0372"/>
    <w:rsid w:val="002B0968"/>
    <w:rsid w:val="002B0AC6"/>
    <w:rsid w:val="002B0BE7"/>
    <w:rsid w:val="002B1B4B"/>
    <w:rsid w:val="002B263D"/>
    <w:rsid w:val="002B28CC"/>
    <w:rsid w:val="002B2F7F"/>
    <w:rsid w:val="002B302E"/>
    <w:rsid w:val="002B30E7"/>
    <w:rsid w:val="002B327E"/>
    <w:rsid w:val="002B37F4"/>
    <w:rsid w:val="002B4480"/>
    <w:rsid w:val="002B4484"/>
    <w:rsid w:val="002B45C5"/>
    <w:rsid w:val="002B4BCA"/>
    <w:rsid w:val="002B4F9F"/>
    <w:rsid w:val="002B56DC"/>
    <w:rsid w:val="002B68E0"/>
    <w:rsid w:val="002B6FAE"/>
    <w:rsid w:val="002B7A0F"/>
    <w:rsid w:val="002B7F4C"/>
    <w:rsid w:val="002C08DE"/>
    <w:rsid w:val="002C1A3F"/>
    <w:rsid w:val="002C2CD4"/>
    <w:rsid w:val="002C2F82"/>
    <w:rsid w:val="002C389A"/>
    <w:rsid w:val="002C434E"/>
    <w:rsid w:val="002C495C"/>
    <w:rsid w:val="002C56CB"/>
    <w:rsid w:val="002C5813"/>
    <w:rsid w:val="002C5D6F"/>
    <w:rsid w:val="002C69F4"/>
    <w:rsid w:val="002C7651"/>
    <w:rsid w:val="002C785E"/>
    <w:rsid w:val="002C7ABD"/>
    <w:rsid w:val="002D0118"/>
    <w:rsid w:val="002D069F"/>
    <w:rsid w:val="002D0B49"/>
    <w:rsid w:val="002D1155"/>
    <w:rsid w:val="002D1780"/>
    <w:rsid w:val="002D1D98"/>
    <w:rsid w:val="002D2036"/>
    <w:rsid w:val="002D26A6"/>
    <w:rsid w:val="002D2B1E"/>
    <w:rsid w:val="002D2BD7"/>
    <w:rsid w:val="002D34C0"/>
    <w:rsid w:val="002D404D"/>
    <w:rsid w:val="002D4352"/>
    <w:rsid w:val="002D43B9"/>
    <w:rsid w:val="002D607C"/>
    <w:rsid w:val="002D6CA6"/>
    <w:rsid w:val="002D6F61"/>
    <w:rsid w:val="002D7CB1"/>
    <w:rsid w:val="002E1236"/>
    <w:rsid w:val="002E147B"/>
    <w:rsid w:val="002E159E"/>
    <w:rsid w:val="002E2D08"/>
    <w:rsid w:val="002E4DB3"/>
    <w:rsid w:val="002E4ECA"/>
    <w:rsid w:val="002E4F4F"/>
    <w:rsid w:val="002E606D"/>
    <w:rsid w:val="002E6813"/>
    <w:rsid w:val="002E6A3A"/>
    <w:rsid w:val="002E7481"/>
    <w:rsid w:val="002F034C"/>
    <w:rsid w:val="002F0578"/>
    <w:rsid w:val="002F07A3"/>
    <w:rsid w:val="002F16F1"/>
    <w:rsid w:val="002F18EF"/>
    <w:rsid w:val="002F19AE"/>
    <w:rsid w:val="002F2688"/>
    <w:rsid w:val="002F3C34"/>
    <w:rsid w:val="002F427B"/>
    <w:rsid w:val="002F46DB"/>
    <w:rsid w:val="002F4CE1"/>
    <w:rsid w:val="002F69C7"/>
    <w:rsid w:val="002F6D3E"/>
    <w:rsid w:val="002F7380"/>
    <w:rsid w:val="002F7EC3"/>
    <w:rsid w:val="00300246"/>
    <w:rsid w:val="003003B5"/>
    <w:rsid w:val="00300DFF"/>
    <w:rsid w:val="003019CC"/>
    <w:rsid w:val="00302A29"/>
    <w:rsid w:val="00302CB7"/>
    <w:rsid w:val="00302F43"/>
    <w:rsid w:val="0030361C"/>
    <w:rsid w:val="003036B3"/>
    <w:rsid w:val="00303871"/>
    <w:rsid w:val="0030400A"/>
    <w:rsid w:val="00304897"/>
    <w:rsid w:val="00304C2F"/>
    <w:rsid w:val="00304C39"/>
    <w:rsid w:val="00305453"/>
    <w:rsid w:val="00305AC3"/>
    <w:rsid w:val="00306493"/>
    <w:rsid w:val="0030720C"/>
    <w:rsid w:val="003077EB"/>
    <w:rsid w:val="003108A4"/>
    <w:rsid w:val="00310A23"/>
    <w:rsid w:val="00310B66"/>
    <w:rsid w:val="00310E1C"/>
    <w:rsid w:val="00310F3D"/>
    <w:rsid w:val="003122FB"/>
    <w:rsid w:val="003130E1"/>
    <w:rsid w:val="00313340"/>
    <w:rsid w:val="003134BF"/>
    <w:rsid w:val="0031354B"/>
    <w:rsid w:val="00313D65"/>
    <w:rsid w:val="0031449F"/>
    <w:rsid w:val="00314CD5"/>
    <w:rsid w:val="003166BA"/>
    <w:rsid w:val="00316812"/>
    <w:rsid w:val="00316AF2"/>
    <w:rsid w:val="00316C09"/>
    <w:rsid w:val="003170F6"/>
    <w:rsid w:val="00320CCD"/>
    <w:rsid w:val="00321349"/>
    <w:rsid w:val="0032142B"/>
    <w:rsid w:val="0032165C"/>
    <w:rsid w:val="00321937"/>
    <w:rsid w:val="00321B3E"/>
    <w:rsid w:val="00324300"/>
    <w:rsid w:val="003248E1"/>
    <w:rsid w:val="00324BD3"/>
    <w:rsid w:val="0032599F"/>
    <w:rsid w:val="00326894"/>
    <w:rsid w:val="00326A65"/>
    <w:rsid w:val="003279FE"/>
    <w:rsid w:val="00330E0E"/>
    <w:rsid w:val="0033113D"/>
    <w:rsid w:val="00331AC6"/>
    <w:rsid w:val="00332423"/>
    <w:rsid w:val="00332DA3"/>
    <w:rsid w:val="00332F61"/>
    <w:rsid w:val="003333A7"/>
    <w:rsid w:val="0033351D"/>
    <w:rsid w:val="0033418F"/>
    <w:rsid w:val="00334717"/>
    <w:rsid w:val="00335682"/>
    <w:rsid w:val="00335B5E"/>
    <w:rsid w:val="00335D4F"/>
    <w:rsid w:val="00335E9B"/>
    <w:rsid w:val="00337D20"/>
    <w:rsid w:val="00337F40"/>
    <w:rsid w:val="003403BD"/>
    <w:rsid w:val="003411A5"/>
    <w:rsid w:val="003418FD"/>
    <w:rsid w:val="00342411"/>
    <w:rsid w:val="003429D7"/>
    <w:rsid w:val="00343394"/>
    <w:rsid w:val="00345187"/>
    <w:rsid w:val="00345978"/>
    <w:rsid w:val="00347C97"/>
    <w:rsid w:val="00347D2A"/>
    <w:rsid w:val="0035024C"/>
    <w:rsid w:val="00350871"/>
    <w:rsid w:val="00350B29"/>
    <w:rsid w:val="00350F90"/>
    <w:rsid w:val="003524AB"/>
    <w:rsid w:val="003548B8"/>
    <w:rsid w:val="00354CF1"/>
    <w:rsid w:val="003560FB"/>
    <w:rsid w:val="003568BB"/>
    <w:rsid w:val="00357DFB"/>
    <w:rsid w:val="00360BDB"/>
    <w:rsid w:val="00360CF5"/>
    <w:rsid w:val="003614F4"/>
    <w:rsid w:val="003624F5"/>
    <w:rsid w:val="00362D59"/>
    <w:rsid w:val="0036313F"/>
    <w:rsid w:val="003633E3"/>
    <w:rsid w:val="00363AFA"/>
    <w:rsid w:val="00364497"/>
    <w:rsid w:val="003645DE"/>
    <w:rsid w:val="00364B08"/>
    <w:rsid w:val="00364FF9"/>
    <w:rsid w:val="00366AED"/>
    <w:rsid w:val="00366DF8"/>
    <w:rsid w:val="00370511"/>
    <w:rsid w:val="00370739"/>
    <w:rsid w:val="0037074A"/>
    <w:rsid w:val="003711D0"/>
    <w:rsid w:val="003718AC"/>
    <w:rsid w:val="00371938"/>
    <w:rsid w:val="00371A1F"/>
    <w:rsid w:val="00371A26"/>
    <w:rsid w:val="00371CF5"/>
    <w:rsid w:val="00372014"/>
    <w:rsid w:val="00372378"/>
    <w:rsid w:val="0037237B"/>
    <w:rsid w:val="00373865"/>
    <w:rsid w:val="00373A32"/>
    <w:rsid w:val="00373A88"/>
    <w:rsid w:val="00374376"/>
    <w:rsid w:val="00374ECF"/>
    <w:rsid w:val="0037517C"/>
    <w:rsid w:val="00375725"/>
    <w:rsid w:val="00375929"/>
    <w:rsid w:val="00375966"/>
    <w:rsid w:val="00375B21"/>
    <w:rsid w:val="00375CE0"/>
    <w:rsid w:val="0037602C"/>
    <w:rsid w:val="00376C1C"/>
    <w:rsid w:val="00377173"/>
    <w:rsid w:val="00377770"/>
    <w:rsid w:val="00377ADE"/>
    <w:rsid w:val="00377DF8"/>
    <w:rsid w:val="00377E66"/>
    <w:rsid w:val="00377FB2"/>
    <w:rsid w:val="00380619"/>
    <w:rsid w:val="00380E45"/>
    <w:rsid w:val="00381923"/>
    <w:rsid w:val="00381B25"/>
    <w:rsid w:val="0038251D"/>
    <w:rsid w:val="003827BE"/>
    <w:rsid w:val="00382860"/>
    <w:rsid w:val="00382F5A"/>
    <w:rsid w:val="00383363"/>
    <w:rsid w:val="00384583"/>
    <w:rsid w:val="00385909"/>
    <w:rsid w:val="00386BE9"/>
    <w:rsid w:val="00386C3A"/>
    <w:rsid w:val="00386DF0"/>
    <w:rsid w:val="0038711A"/>
    <w:rsid w:val="00390276"/>
    <w:rsid w:val="003906C0"/>
    <w:rsid w:val="00392628"/>
    <w:rsid w:val="003926B6"/>
    <w:rsid w:val="00392C12"/>
    <w:rsid w:val="00393988"/>
    <w:rsid w:val="003939A8"/>
    <w:rsid w:val="00394EBC"/>
    <w:rsid w:val="00394EE7"/>
    <w:rsid w:val="00395B62"/>
    <w:rsid w:val="00395DAE"/>
    <w:rsid w:val="00396E4B"/>
    <w:rsid w:val="003970FA"/>
    <w:rsid w:val="003971C3"/>
    <w:rsid w:val="00397BA8"/>
    <w:rsid w:val="003A0019"/>
    <w:rsid w:val="003A0052"/>
    <w:rsid w:val="003A05F3"/>
    <w:rsid w:val="003A0E5D"/>
    <w:rsid w:val="003A1C06"/>
    <w:rsid w:val="003A1F25"/>
    <w:rsid w:val="003A29DF"/>
    <w:rsid w:val="003A2F6D"/>
    <w:rsid w:val="003A3422"/>
    <w:rsid w:val="003A40A0"/>
    <w:rsid w:val="003A4A48"/>
    <w:rsid w:val="003A4AC4"/>
    <w:rsid w:val="003A501C"/>
    <w:rsid w:val="003A5123"/>
    <w:rsid w:val="003A52FC"/>
    <w:rsid w:val="003A54DD"/>
    <w:rsid w:val="003A5F14"/>
    <w:rsid w:val="003A6C42"/>
    <w:rsid w:val="003B0516"/>
    <w:rsid w:val="003B091A"/>
    <w:rsid w:val="003B17C7"/>
    <w:rsid w:val="003B226E"/>
    <w:rsid w:val="003B2E0F"/>
    <w:rsid w:val="003B349C"/>
    <w:rsid w:val="003B3630"/>
    <w:rsid w:val="003B4233"/>
    <w:rsid w:val="003B4B75"/>
    <w:rsid w:val="003B59B7"/>
    <w:rsid w:val="003B605D"/>
    <w:rsid w:val="003B64A4"/>
    <w:rsid w:val="003B6A32"/>
    <w:rsid w:val="003C0C45"/>
    <w:rsid w:val="003C36E6"/>
    <w:rsid w:val="003C396B"/>
    <w:rsid w:val="003C46C7"/>
    <w:rsid w:val="003C474D"/>
    <w:rsid w:val="003C47A6"/>
    <w:rsid w:val="003C56D6"/>
    <w:rsid w:val="003C5C35"/>
    <w:rsid w:val="003C5E66"/>
    <w:rsid w:val="003C5F64"/>
    <w:rsid w:val="003C65C9"/>
    <w:rsid w:val="003C7FF1"/>
    <w:rsid w:val="003D01E7"/>
    <w:rsid w:val="003D05F4"/>
    <w:rsid w:val="003D10EB"/>
    <w:rsid w:val="003D18D1"/>
    <w:rsid w:val="003D1F35"/>
    <w:rsid w:val="003D3149"/>
    <w:rsid w:val="003D3652"/>
    <w:rsid w:val="003D36F6"/>
    <w:rsid w:val="003D40B6"/>
    <w:rsid w:val="003D43E9"/>
    <w:rsid w:val="003D4528"/>
    <w:rsid w:val="003D4C50"/>
    <w:rsid w:val="003D540B"/>
    <w:rsid w:val="003D5EB0"/>
    <w:rsid w:val="003D6B33"/>
    <w:rsid w:val="003D754C"/>
    <w:rsid w:val="003D7604"/>
    <w:rsid w:val="003E07CF"/>
    <w:rsid w:val="003E0B2D"/>
    <w:rsid w:val="003E0E5B"/>
    <w:rsid w:val="003E0FAA"/>
    <w:rsid w:val="003E1134"/>
    <w:rsid w:val="003E143F"/>
    <w:rsid w:val="003E19C8"/>
    <w:rsid w:val="003E1B3C"/>
    <w:rsid w:val="003E1D36"/>
    <w:rsid w:val="003E1F50"/>
    <w:rsid w:val="003E2526"/>
    <w:rsid w:val="003E2662"/>
    <w:rsid w:val="003E2996"/>
    <w:rsid w:val="003E2C3A"/>
    <w:rsid w:val="003E3239"/>
    <w:rsid w:val="003E36B2"/>
    <w:rsid w:val="003E3853"/>
    <w:rsid w:val="003E421B"/>
    <w:rsid w:val="003E42BE"/>
    <w:rsid w:val="003E438B"/>
    <w:rsid w:val="003E4414"/>
    <w:rsid w:val="003E44C9"/>
    <w:rsid w:val="003E53C7"/>
    <w:rsid w:val="003E5723"/>
    <w:rsid w:val="003E5CEF"/>
    <w:rsid w:val="003E6231"/>
    <w:rsid w:val="003E6C9B"/>
    <w:rsid w:val="003E71FD"/>
    <w:rsid w:val="003E7289"/>
    <w:rsid w:val="003E76DC"/>
    <w:rsid w:val="003F0461"/>
    <w:rsid w:val="003F04E6"/>
    <w:rsid w:val="003F1376"/>
    <w:rsid w:val="003F18BA"/>
    <w:rsid w:val="003F22D3"/>
    <w:rsid w:val="003F234F"/>
    <w:rsid w:val="003F2797"/>
    <w:rsid w:val="003F2A5A"/>
    <w:rsid w:val="003F310A"/>
    <w:rsid w:val="003F4381"/>
    <w:rsid w:val="003F4672"/>
    <w:rsid w:val="003F52B6"/>
    <w:rsid w:val="003F55CC"/>
    <w:rsid w:val="003F55D3"/>
    <w:rsid w:val="003F5853"/>
    <w:rsid w:val="003F5BA5"/>
    <w:rsid w:val="003F5DB0"/>
    <w:rsid w:val="003F5F4D"/>
    <w:rsid w:val="003F60AF"/>
    <w:rsid w:val="003F6950"/>
    <w:rsid w:val="003F69C5"/>
    <w:rsid w:val="003F6B87"/>
    <w:rsid w:val="003F6D59"/>
    <w:rsid w:val="003F71E6"/>
    <w:rsid w:val="003F7C22"/>
    <w:rsid w:val="0040032E"/>
    <w:rsid w:val="00400F1A"/>
    <w:rsid w:val="00401245"/>
    <w:rsid w:val="0040132B"/>
    <w:rsid w:val="004018B3"/>
    <w:rsid w:val="00402016"/>
    <w:rsid w:val="0040377A"/>
    <w:rsid w:val="00403892"/>
    <w:rsid w:val="00404124"/>
    <w:rsid w:val="004049BD"/>
    <w:rsid w:val="004055BB"/>
    <w:rsid w:val="004055E0"/>
    <w:rsid w:val="004075AC"/>
    <w:rsid w:val="004076FD"/>
    <w:rsid w:val="0040771F"/>
    <w:rsid w:val="00407B16"/>
    <w:rsid w:val="00412395"/>
    <w:rsid w:val="00412417"/>
    <w:rsid w:val="00412C31"/>
    <w:rsid w:val="00413C46"/>
    <w:rsid w:val="00414188"/>
    <w:rsid w:val="0041516C"/>
    <w:rsid w:val="00415DF8"/>
    <w:rsid w:val="00415F8F"/>
    <w:rsid w:val="00416536"/>
    <w:rsid w:val="004168EA"/>
    <w:rsid w:val="004172B1"/>
    <w:rsid w:val="004179D6"/>
    <w:rsid w:val="004211E4"/>
    <w:rsid w:val="00421505"/>
    <w:rsid w:val="00422FB7"/>
    <w:rsid w:val="004234BE"/>
    <w:rsid w:val="00423A2E"/>
    <w:rsid w:val="00423C75"/>
    <w:rsid w:val="00423FEA"/>
    <w:rsid w:val="00424093"/>
    <w:rsid w:val="00424CB4"/>
    <w:rsid w:val="00424F4C"/>
    <w:rsid w:val="00425A03"/>
    <w:rsid w:val="00425D89"/>
    <w:rsid w:val="00426752"/>
    <w:rsid w:val="004269EE"/>
    <w:rsid w:val="00426B16"/>
    <w:rsid w:val="00426B5D"/>
    <w:rsid w:val="0042784B"/>
    <w:rsid w:val="0043049C"/>
    <w:rsid w:val="00430B28"/>
    <w:rsid w:val="00430C4F"/>
    <w:rsid w:val="00431394"/>
    <w:rsid w:val="00431B84"/>
    <w:rsid w:val="00431CD0"/>
    <w:rsid w:val="00432BF1"/>
    <w:rsid w:val="00433F57"/>
    <w:rsid w:val="0043421E"/>
    <w:rsid w:val="00435BF7"/>
    <w:rsid w:val="00436065"/>
    <w:rsid w:val="00436304"/>
    <w:rsid w:val="0043708A"/>
    <w:rsid w:val="00437AB3"/>
    <w:rsid w:val="00440975"/>
    <w:rsid w:val="0044123E"/>
    <w:rsid w:val="00441600"/>
    <w:rsid w:val="0044178C"/>
    <w:rsid w:val="00442515"/>
    <w:rsid w:val="0044264F"/>
    <w:rsid w:val="00443B4C"/>
    <w:rsid w:val="0044503A"/>
    <w:rsid w:val="0044545E"/>
    <w:rsid w:val="004459E6"/>
    <w:rsid w:val="0044730D"/>
    <w:rsid w:val="00447407"/>
    <w:rsid w:val="00447556"/>
    <w:rsid w:val="00447645"/>
    <w:rsid w:val="00447B96"/>
    <w:rsid w:val="00447E59"/>
    <w:rsid w:val="0045013B"/>
    <w:rsid w:val="00451025"/>
    <w:rsid w:val="004510F1"/>
    <w:rsid w:val="00451DA3"/>
    <w:rsid w:val="004522E1"/>
    <w:rsid w:val="00452D33"/>
    <w:rsid w:val="0045334E"/>
    <w:rsid w:val="004541CA"/>
    <w:rsid w:val="00454240"/>
    <w:rsid w:val="0045450D"/>
    <w:rsid w:val="004545CF"/>
    <w:rsid w:val="00454600"/>
    <w:rsid w:val="004553A0"/>
    <w:rsid w:val="004556E8"/>
    <w:rsid w:val="00455775"/>
    <w:rsid w:val="004557C3"/>
    <w:rsid w:val="0045661B"/>
    <w:rsid w:val="00456B43"/>
    <w:rsid w:val="00456B7B"/>
    <w:rsid w:val="00456F4C"/>
    <w:rsid w:val="00457367"/>
    <w:rsid w:val="0045748A"/>
    <w:rsid w:val="00457B7F"/>
    <w:rsid w:val="00460BEF"/>
    <w:rsid w:val="00461690"/>
    <w:rsid w:val="00461A07"/>
    <w:rsid w:val="004623D4"/>
    <w:rsid w:val="0046248B"/>
    <w:rsid w:val="0046354E"/>
    <w:rsid w:val="0046450C"/>
    <w:rsid w:val="0046524E"/>
    <w:rsid w:val="00466CA8"/>
    <w:rsid w:val="004670D0"/>
    <w:rsid w:val="004676CE"/>
    <w:rsid w:val="004704DD"/>
    <w:rsid w:val="0047145F"/>
    <w:rsid w:val="00472234"/>
    <w:rsid w:val="0047333B"/>
    <w:rsid w:val="00473382"/>
    <w:rsid w:val="00473B84"/>
    <w:rsid w:val="00473F19"/>
    <w:rsid w:val="00474B1D"/>
    <w:rsid w:val="00474C9C"/>
    <w:rsid w:val="004750A6"/>
    <w:rsid w:val="00475A6C"/>
    <w:rsid w:val="00476068"/>
    <w:rsid w:val="0047679C"/>
    <w:rsid w:val="00476A9A"/>
    <w:rsid w:val="00476CE4"/>
    <w:rsid w:val="00476D2B"/>
    <w:rsid w:val="00477C29"/>
    <w:rsid w:val="00477ED5"/>
    <w:rsid w:val="004815C7"/>
    <w:rsid w:val="0048173E"/>
    <w:rsid w:val="00481D04"/>
    <w:rsid w:val="00482A82"/>
    <w:rsid w:val="00483704"/>
    <w:rsid w:val="0048372E"/>
    <w:rsid w:val="004840B5"/>
    <w:rsid w:val="00484AF4"/>
    <w:rsid w:val="00485374"/>
    <w:rsid w:val="00485B59"/>
    <w:rsid w:val="00485E30"/>
    <w:rsid w:val="004869D0"/>
    <w:rsid w:val="0048725E"/>
    <w:rsid w:val="004879E0"/>
    <w:rsid w:val="00487B51"/>
    <w:rsid w:val="00487B84"/>
    <w:rsid w:val="00487FED"/>
    <w:rsid w:val="004902D1"/>
    <w:rsid w:val="0049060A"/>
    <w:rsid w:val="004906AD"/>
    <w:rsid w:val="004915A4"/>
    <w:rsid w:val="004917ED"/>
    <w:rsid w:val="004917F4"/>
    <w:rsid w:val="004924B5"/>
    <w:rsid w:val="00492A70"/>
    <w:rsid w:val="00492F66"/>
    <w:rsid w:val="00493260"/>
    <w:rsid w:val="00493C91"/>
    <w:rsid w:val="00493E47"/>
    <w:rsid w:val="00494583"/>
    <w:rsid w:val="0049499D"/>
    <w:rsid w:val="00495431"/>
    <w:rsid w:val="0049736F"/>
    <w:rsid w:val="004A05D0"/>
    <w:rsid w:val="004A0A90"/>
    <w:rsid w:val="004A27B3"/>
    <w:rsid w:val="004A2835"/>
    <w:rsid w:val="004A2C36"/>
    <w:rsid w:val="004A2F96"/>
    <w:rsid w:val="004A32F1"/>
    <w:rsid w:val="004A3C44"/>
    <w:rsid w:val="004A456F"/>
    <w:rsid w:val="004A4B68"/>
    <w:rsid w:val="004A4D65"/>
    <w:rsid w:val="004A605D"/>
    <w:rsid w:val="004A61FC"/>
    <w:rsid w:val="004A670B"/>
    <w:rsid w:val="004A6DDF"/>
    <w:rsid w:val="004A73FB"/>
    <w:rsid w:val="004B0333"/>
    <w:rsid w:val="004B048D"/>
    <w:rsid w:val="004B0513"/>
    <w:rsid w:val="004B0690"/>
    <w:rsid w:val="004B0B06"/>
    <w:rsid w:val="004B0BF6"/>
    <w:rsid w:val="004B12EF"/>
    <w:rsid w:val="004B1465"/>
    <w:rsid w:val="004B1706"/>
    <w:rsid w:val="004B1D22"/>
    <w:rsid w:val="004B25B5"/>
    <w:rsid w:val="004B30EB"/>
    <w:rsid w:val="004B386E"/>
    <w:rsid w:val="004B38A6"/>
    <w:rsid w:val="004B3A7A"/>
    <w:rsid w:val="004B4B98"/>
    <w:rsid w:val="004B5669"/>
    <w:rsid w:val="004B65F3"/>
    <w:rsid w:val="004B6E90"/>
    <w:rsid w:val="004B6F6E"/>
    <w:rsid w:val="004B77B2"/>
    <w:rsid w:val="004C0F7D"/>
    <w:rsid w:val="004C0FF0"/>
    <w:rsid w:val="004C177A"/>
    <w:rsid w:val="004C1FF3"/>
    <w:rsid w:val="004C2181"/>
    <w:rsid w:val="004C2308"/>
    <w:rsid w:val="004C28DD"/>
    <w:rsid w:val="004C2A3D"/>
    <w:rsid w:val="004C2CEC"/>
    <w:rsid w:val="004C2F1B"/>
    <w:rsid w:val="004C3AC5"/>
    <w:rsid w:val="004C3AFE"/>
    <w:rsid w:val="004C433E"/>
    <w:rsid w:val="004C43E9"/>
    <w:rsid w:val="004C4947"/>
    <w:rsid w:val="004C4D95"/>
    <w:rsid w:val="004C4E55"/>
    <w:rsid w:val="004C512E"/>
    <w:rsid w:val="004C600C"/>
    <w:rsid w:val="004C78FD"/>
    <w:rsid w:val="004C794B"/>
    <w:rsid w:val="004C7FDA"/>
    <w:rsid w:val="004D0780"/>
    <w:rsid w:val="004D0A4E"/>
    <w:rsid w:val="004D0E10"/>
    <w:rsid w:val="004D129A"/>
    <w:rsid w:val="004D16FB"/>
    <w:rsid w:val="004D19EB"/>
    <w:rsid w:val="004D1ACD"/>
    <w:rsid w:val="004D3323"/>
    <w:rsid w:val="004D353F"/>
    <w:rsid w:val="004D3D62"/>
    <w:rsid w:val="004D45C6"/>
    <w:rsid w:val="004D4A38"/>
    <w:rsid w:val="004D565E"/>
    <w:rsid w:val="004D56D9"/>
    <w:rsid w:val="004D59A4"/>
    <w:rsid w:val="004D6AB1"/>
    <w:rsid w:val="004D70D7"/>
    <w:rsid w:val="004D7119"/>
    <w:rsid w:val="004D73D5"/>
    <w:rsid w:val="004E0386"/>
    <w:rsid w:val="004E104D"/>
    <w:rsid w:val="004E192E"/>
    <w:rsid w:val="004E2DDB"/>
    <w:rsid w:val="004E372D"/>
    <w:rsid w:val="004E44A8"/>
    <w:rsid w:val="004E46F2"/>
    <w:rsid w:val="004E4773"/>
    <w:rsid w:val="004E4F44"/>
    <w:rsid w:val="004E605B"/>
    <w:rsid w:val="004E6708"/>
    <w:rsid w:val="004E6F9D"/>
    <w:rsid w:val="004E73A7"/>
    <w:rsid w:val="004E7486"/>
    <w:rsid w:val="004E7DF2"/>
    <w:rsid w:val="004F053A"/>
    <w:rsid w:val="004F095B"/>
    <w:rsid w:val="004F143B"/>
    <w:rsid w:val="004F16B9"/>
    <w:rsid w:val="004F2411"/>
    <w:rsid w:val="004F395E"/>
    <w:rsid w:val="004F3AE4"/>
    <w:rsid w:val="004F4437"/>
    <w:rsid w:val="004F4E54"/>
    <w:rsid w:val="004F514A"/>
    <w:rsid w:val="004F57ED"/>
    <w:rsid w:val="004F58B3"/>
    <w:rsid w:val="004F5D1E"/>
    <w:rsid w:val="004F5E6C"/>
    <w:rsid w:val="004F607E"/>
    <w:rsid w:val="004F6A2A"/>
    <w:rsid w:val="004F6A73"/>
    <w:rsid w:val="004F7BEC"/>
    <w:rsid w:val="005005EF"/>
    <w:rsid w:val="00500728"/>
    <w:rsid w:val="00500B21"/>
    <w:rsid w:val="00500C70"/>
    <w:rsid w:val="00501C58"/>
    <w:rsid w:val="00501E15"/>
    <w:rsid w:val="005023C9"/>
    <w:rsid w:val="00502A0E"/>
    <w:rsid w:val="005030A5"/>
    <w:rsid w:val="005033A9"/>
    <w:rsid w:val="00504222"/>
    <w:rsid w:val="00504594"/>
    <w:rsid w:val="00504A10"/>
    <w:rsid w:val="00504F2D"/>
    <w:rsid w:val="005050AE"/>
    <w:rsid w:val="005050C3"/>
    <w:rsid w:val="0050668A"/>
    <w:rsid w:val="00506858"/>
    <w:rsid w:val="00506A97"/>
    <w:rsid w:val="0050716D"/>
    <w:rsid w:val="005109D7"/>
    <w:rsid w:val="005113B1"/>
    <w:rsid w:val="00511A03"/>
    <w:rsid w:val="00512748"/>
    <w:rsid w:val="00512873"/>
    <w:rsid w:val="00512B45"/>
    <w:rsid w:val="00513479"/>
    <w:rsid w:val="00513E3B"/>
    <w:rsid w:val="00514E97"/>
    <w:rsid w:val="005168D5"/>
    <w:rsid w:val="00516B65"/>
    <w:rsid w:val="00517384"/>
    <w:rsid w:val="005173B6"/>
    <w:rsid w:val="005173DF"/>
    <w:rsid w:val="005176EA"/>
    <w:rsid w:val="0051781A"/>
    <w:rsid w:val="0052071A"/>
    <w:rsid w:val="00521321"/>
    <w:rsid w:val="0052149E"/>
    <w:rsid w:val="00523FBA"/>
    <w:rsid w:val="005242E0"/>
    <w:rsid w:val="00524E4A"/>
    <w:rsid w:val="005250A1"/>
    <w:rsid w:val="005259DD"/>
    <w:rsid w:val="00526DF5"/>
    <w:rsid w:val="005308FF"/>
    <w:rsid w:val="00530B40"/>
    <w:rsid w:val="00530E2D"/>
    <w:rsid w:val="0053127E"/>
    <w:rsid w:val="00531354"/>
    <w:rsid w:val="00531712"/>
    <w:rsid w:val="00533098"/>
    <w:rsid w:val="0053339A"/>
    <w:rsid w:val="00533511"/>
    <w:rsid w:val="00533A8A"/>
    <w:rsid w:val="00533BCC"/>
    <w:rsid w:val="00533DAC"/>
    <w:rsid w:val="00533EDB"/>
    <w:rsid w:val="005343B4"/>
    <w:rsid w:val="00534C84"/>
    <w:rsid w:val="005351B9"/>
    <w:rsid w:val="00535618"/>
    <w:rsid w:val="00535842"/>
    <w:rsid w:val="0053657B"/>
    <w:rsid w:val="00536593"/>
    <w:rsid w:val="005365A6"/>
    <w:rsid w:val="005368F0"/>
    <w:rsid w:val="005369B6"/>
    <w:rsid w:val="005374D3"/>
    <w:rsid w:val="005376ED"/>
    <w:rsid w:val="00537D1A"/>
    <w:rsid w:val="00540477"/>
    <w:rsid w:val="00540716"/>
    <w:rsid w:val="00541161"/>
    <w:rsid w:val="00541EB1"/>
    <w:rsid w:val="0054237C"/>
    <w:rsid w:val="00542868"/>
    <w:rsid w:val="00542AC6"/>
    <w:rsid w:val="0054367E"/>
    <w:rsid w:val="00543891"/>
    <w:rsid w:val="00543D50"/>
    <w:rsid w:val="00545405"/>
    <w:rsid w:val="005462FA"/>
    <w:rsid w:val="00552776"/>
    <w:rsid w:val="00552A29"/>
    <w:rsid w:val="00552A5D"/>
    <w:rsid w:val="0055326F"/>
    <w:rsid w:val="00554DCE"/>
    <w:rsid w:val="00555240"/>
    <w:rsid w:val="00555647"/>
    <w:rsid w:val="0055574D"/>
    <w:rsid w:val="005559E5"/>
    <w:rsid w:val="00556CF2"/>
    <w:rsid w:val="00560A23"/>
    <w:rsid w:val="00561023"/>
    <w:rsid w:val="0056140A"/>
    <w:rsid w:val="00561588"/>
    <w:rsid w:val="00562FD7"/>
    <w:rsid w:val="0056365E"/>
    <w:rsid w:val="00563E69"/>
    <w:rsid w:val="005643F7"/>
    <w:rsid w:val="005656BA"/>
    <w:rsid w:val="00565845"/>
    <w:rsid w:val="005667C6"/>
    <w:rsid w:val="00566A5C"/>
    <w:rsid w:val="005671E4"/>
    <w:rsid w:val="0056794D"/>
    <w:rsid w:val="00567AA6"/>
    <w:rsid w:val="00567B43"/>
    <w:rsid w:val="00567D5D"/>
    <w:rsid w:val="0057135A"/>
    <w:rsid w:val="00571590"/>
    <w:rsid w:val="0057197E"/>
    <w:rsid w:val="00571FAF"/>
    <w:rsid w:val="0057264F"/>
    <w:rsid w:val="0057286A"/>
    <w:rsid w:val="0057299B"/>
    <w:rsid w:val="00572CBC"/>
    <w:rsid w:val="0057416A"/>
    <w:rsid w:val="005746AB"/>
    <w:rsid w:val="00574C27"/>
    <w:rsid w:val="00575408"/>
    <w:rsid w:val="00575C32"/>
    <w:rsid w:val="00575E79"/>
    <w:rsid w:val="005762E1"/>
    <w:rsid w:val="0057648A"/>
    <w:rsid w:val="005768CA"/>
    <w:rsid w:val="0057690A"/>
    <w:rsid w:val="00577689"/>
    <w:rsid w:val="00577B1A"/>
    <w:rsid w:val="00577E2C"/>
    <w:rsid w:val="0058007F"/>
    <w:rsid w:val="00580BD3"/>
    <w:rsid w:val="005817F2"/>
    <w:rsid w:val="00582345"/>
    <w:rsid w:val="00584CCC"/>
    <w:rsid w:val="00585835"/>
    <w:rsid w:val="00585C92"/>
    <w:rsid w:val="00586282"/>
    <w:rsid w:val="00586356"/>
    <w:rsid w:val="00586591"/>
    <w:rsid w:val="00586F82"/>
    <w:rsid w:val="005878E3"/>
    <w:rsid w:val="00587C93"/>
    <w:rsid w:val="00590024"/>
    <w:rsid w:val="005902CF"/>
    <w:rsid w:val="005903BF"/>
    <w:rsid w:val="00591191"/>
    <w:rsid w:val="00591821"/>
    <w:rsid w:val="00591BAD"/>
    <w:rsid w:val="00591C98"/>
    <w:rsid w:val="00591D9E"/>
    <w:rsid w:val="00591FED"/>
    <w:rsid w:val="00592783"/>
    <w:rsid w:val="00592A9E"/>
    <w:rsid w:val="00593338"/>
    <w:rsid w:val="00593BED"/>
    <w:rsid w:val="00593C82"/>
    <w:rsid w:val="005945B1"/>
    <w:rsid w:val="00594819"/>
    <w:rsid w:val="00594E17"/>
    <w:rsid w:val="0059550C"/>
    <w:rsid w:val="00596482"/>
    <w:rsid w:val="00596524"/>
    <w:rsid w:val="005A0208"/>
    <w:rsid w:val="005A0682"/>
    <w:rsid w:val="005A1439"/>
    <w:rsid w:val="005A17A2"/>
    <w:rsid w:val="005A1BD7"/>
    <w:rsid w:val="005A1E9E"/>
    <w:rsid w:val="005A205F"/>
    <w:rsid w:val="005A290F"/>
    <w:rsid w:val="005A2CA5"/>
    <w:rsid w:val="005A3CC5"/>
    <w:rsid w:val="005A442B"/>
    <w:rsid w:val="005A6353"/>
    <w:rsid w:val="005A69D4"/>
    <w:rsid w:val="005A6E4B"/>
    <w:rsid w:val="005A6FA3"/>
    <w:rsid w:val="005A7BBE"/>
    <w:rsid w:val="005B0778"/>
    <w:rsid w:val="005B0AAD"/>
    <w:rsid w:val="005B1546"/>
    <w:rsid w:val="005B2545"/>
    <w:rsid w:val="005B2603"/>
    <w:rsid w:val="005B2799"/>
    <w:rsid w:val="005B2BF5"/>
    <w:rsid w:val="005B2EF2"/>
    <w:rsid w:val="005B308F"/>
    <w:rsid w:val="005B3549"/>
    <w:rsid w:val="005B3D34"/>
    <w:rsid w:val="005B42CB"/>
    <w:rsid w:val="005B4527"/>
    <w:rsid w:val="005B5538"/>
    <w:rsid w:val="005B5EBD"/>
    <w:rsid w:val="005B5F82"/>
    <w:rsid w:val="005B6E58"/>
    <w:rsid w:val="005B773B"/>
    <w:rsid w:val="005C0097"/>
    <w:rsid w:val="005C024F"/>
    <w:rsid w:val="005C07FE"/>
    <w:rsid w:val="005C1054"/>
    <w:rsid w:val="005C1A44"/>
    <w:rsid w:val="005C3C7A"/>
    <w:rsid w:val="005C4822"/>
    <w:rsid w:val="005C550E"/>
    <w:rsid w:val="005C5521"/>
    <w:rsid w:val="005C6401"/>
    <w:rsid w:val="005C6BEC"/>
    <w:rsid w:val="005D08E6"/>
    <w:rsid w:val="005D1CCE"/>
    <w:rsid w:val="005D1F2F"/>
    <w:rsid w:val="005D1F95"/>
    <w:rsid w:val="005D21A5"/>
    <w:rsid w:val="005D2BF5"/>
    <w:rsid w:val="005D343F"/>
    <w:rsid w:val="005D3791"/>
    <w:rsid w:val="005D3BDB"/>
    <w:rsid w:val="005D3CE8"/>
    <w:rsid w:val="005D3E0F"/>
    <w:rsid w:val="005D3F0D"/>
    <w:rsid w:val="005D3FBB"/>
    <w:rsid w:val="005D48B4"/>
    <w:rsid w:val="005D5356"/>
    <w:rsid w:val="005D6224"/>
    <w:rsid w:val="005D6A3A"/>
    <w:rsid w:val="005D7376"/>
    <w:rsid w:val="005D74C5"/>
    <w:rsid w:val="005D765B"/>
    <w:rsid w:val="005D7D45"/>
    <w:rsid w:val="005E03AD"/>
    <w:rsid w:val="005E1653"/>
    <w:rsid w:val="005E215E"/>
    <w:rsid w:val="005E26C7"/>
    <w:rsid w:val="005E2E00"/>
    <w:rsid w:val="005E3002"/>
    <w:rsid w:val="005E4668"/>
    <w:rsid w:val="005E47F8"/>
    <w:rsid w:val="005E4AE5"/>
    <w:rsid w:val="005E50D5"/>
    <w:rsid w:val="005E530B"/>
    <w:rsid w:val="005E536A"/>
    <w:rsid w:val="005E5747"/>
    <w:rsid w:val="005E5FF2"/>
    <w:rsid w:val="005E603D"/>
    <w:rsid w:val="005E63C2"/>
    <w:rsid w:val="005E6DF3"/>
    <w:rsid w:val="005E761F"/>
    <w:rsid w:val="005E7C54"/>
    <w:rsid w:val="005E7F68"/>
    <w:rsid w:val="005F11C7"/>
    <w:rsid w:val="005F12A5"/>
    <w:rsid w:val="005F23CB"/>
    <w:rsid w:val="005F2FA5"/>
    <w:rsid w:val="005F33AA"/>
    <w:rsid w:val="005F3803"/>
    <w:rsid w:val="005F43CF"/>
    <w:rsid w:val="005F497C"/>
    <w:rsid w:val="005F4AAA"/>
    <w:rsid w:val="005F4E1E"/>
    <w:rsid w:val="005F5124"/>
    <w:rsid w:val="005F577B"/>
    <w:rsid w:val="005F5EE5"/>
    <w:rsid w:val="005F5F0A"/>
    <w:rsid w:val="005F6399"/>
    <w:rsid w:val="005F6D46"/>
    <w:rsid w:val="005F70B4"/>
    <w:rsid w:val="005F7B3F"/>
    <w:rsid w:val="0060083F"/>
    <w:rsid w:val="00600AE1"/>
    <w:rsid w:val="00600BEF"/>
    <w:rsid w:val="00600ED1"/>
    <w:rsid w:val="006018E2"/>
    <w:rsid w:val="00602301"/>
    <w:rsid w:val="0060312C"/>
    <w:rsid w:val="00604373"/>
    <w:rsid w:val="00604F99"/>
    <w:rsid w:val="00605114"/>
    <w:rsid w:val="00605125"/>
    <w:rsid w:val="0060550A"/>
    <w:rsid w:val="006055F5"/>
    <w:rsid w:val="00605B4A"/>
    <w:rsid w:val="006065D6"/>
    <w:rsid w:val="0060677D"/>
    <w:rsid w:val="00606D2B"/>
    <w:rsid w:val="0060751B"/>
    <w:rsid w:val="006123C7"/>
    <w:rsid w:val="00612AF4"/>
    <w:rsid w:val="00612D61"/>
    <w:rsid w:val="00612DDD"/>
    <w:rsid w:val="00614175"/>
    <w:rsid w:val="00616926"/>
    <w:rsid w:val="00616FA0"/>
    <w:rsid w:val="0061739F"/>
    <w:rsid w:val="00617AC4"/>
    <w:rsid w:val="00617B89"/>
    <w:rsid w:val="00617FA5"/>
    <w:rsid w:val="00620466"/>
    <w:rsid w:val="0062047D"/>
    <w:rsid w:val="00620E0F"/>
    <w:rsid w:val="00620FC5"/>
    <w:rsid w:val="00621D36"/>
    <w:rsid w:val="00621D4A"/>
    <w:rsid w:val="00622039"/>
    <w:rsid w:val="006226AC"/>
    <w:rsid w:val="00622D21"/>
    <w:rsid w:val="00622E8F"/>
    <w:rsid w:val="006239E5"/>
    <w:rsid w:val="00624CA5"/>
    <w:rsid w:val="00625A63"/>
    <w:rsid w:val="0062673A"/>
    <w:rsid w:val="00626ADC"/>
    <w:rsid w:val="00626C71"/>
    <w:rsid w:val="00627201"/>
    <w:rsid w:val="00630873"/>
    <w:rsid w:val="00631558"/>
    <w:rsid w:val="00632C48"/>
    <w:rsid w:val="00632DBE"/>
    <w:rsid w:val="00632F4C"/>
    <w:rsid w:val="00633AB3"/>
    <w:rsid w:val="00633EE4"/>
    <w:rsid w:val="00633F4F"/>
    <w:rsid w:val="00634664"/>
    <w:rsid w:val="0063472F"/>
    <w:rsid w:val="00634B16"/>
    <w:rsid w:val="00634C26"/>
    <w:rsid w:val="00634D83"/>
    <w:rsid w:val="0063578A"/>
    <w:rsid w:val="00636826"/>
    <w:rsid w:val="00636A18"/>
    <w:rsid w:val="00636C2A"/>
    <w:rsid w:val="00637533"/>
    <w:rsid w:val="006376BB"/>
    <w:rsid w:val="00637CCD"/>
    <w:rsid w:val="0064003B"/>
    <w:rsid w:val="006402F0"/>
    <w:rsid w:val="006407CF"/>
    <w:rsid w:val="00640CB8"/>
    <w:rsid w:val="00641C13"/>
    <w:rsid w:val="0064380E"/>
    <w:rsid w:val="00643855"/>
    <w:rsid w:val="006455D7"/>
    <w:rsid w:val="0064607C"/>
    <w:rsid w:val="00646378"/>
    <w:rsid w:val="006467AA"/>
    <w:rsid w:val="00646F93"/>
    <w:rsid w:val="006472FC"/>
    <w:rsid w:val="00647D2D"/>
    <w:rsid w:val="00650058"/>
    <w:rsid w:val="006501FA"/>
    <w:rsid w:val="006504AB"/>
    <w:rsid w:val="006506C8"/>
    <w:rsid w:val="00650984"/>
    <w:rsid w:val="00650BB2"/>
    <w:rsid w:val="00650E56"/>
    <w:rsid w:val="00651350"/>
    <w:rsid w:val="00651879"/>
    <w:rsid w:val="00651EBE"/>
    <w:rsid w:val="00652228"/>
    <w:rsid w:val="00652AD8"/>
    <w:rsid w:val="00652B61"/>
    <w:rsid w:val="00652FA5"/>
    <w:rsid w:val="006536EB"/>
    <w:rsid w:val="00653E4F"/>
    <w:rsid w:val="0065412B"/>
    <w:rsid w:val="0065417E"/>
    <w:rsid w:val="00654A25"/>
    <w:rsid w:val="00654EC7"/>
    <w:rsid w:val="00655D4E"/>
    <w:rsid w:val="006564DF"/>
    <w:rsid w:val="00657217"/>
    <w:rsid w:val="00657A97"/>
    <w:rsid w:val="00657DF5"/>
    <w:rsid w:val="0066121B"/>
    <w:rsid w:val="006613DC"/>
    <w:rsid w:val="006618BF"/>
    <w:rsid w:val="00661E75"/>
    <w:rsid w:val="00663188"/>
    <w:rsid w:val="00663C0E"/>
    <w:rsid w:val="006643B0"/>
    <w:rsid w:val="006657AE"/>
    <w:rsid w:val="00665885"/>
    <w:rsid w:val="00665906"/>
    <w:rsid w:val="006659F3"/>
    <w:rsid w:val="00665AA4"/>
    <w:rsid w:val="00665AB7"/>
    <w:rsid w:val="00665E90"/>
    <w:rsid w:val="006664CC"/>
    <w:rsid w:val="00666B30"/>
    <w:rsid w:val="006673C4"/>
    <w:rsid w:val="006675C5"/>
    <w:rsid w:val="006703F3"/>
    <w:rsid w:val="00670DC2"/>
    <w:rsid w:val="006711B0"/>
    <w:rsid w:val="00671622"/>
    <w:rsid w:val="006717AA"/>
    <w:rsid w:val="006717B5"/>
    <w:rsid w:val="0067229F"/>
    <w:rsid w:val="0067388B"/>
    <w:rsid w:val="00673E85"/>
    <w:rsid w:val="00673FAD"/>
    <w:rsid w:val="0067414D"/>
    <w:rsid w:val="00674425"/>
    <w:rsid w:val="0067463B"/>
    <w:rsid w:val="006747AD"/>
    <w:rsid w:val="00674B5B"/>
    <w:rsid w:val="006757FC"/>
    <w:rsid w:val="00675C87"/>
    <w:rsid w:val="00675F24"/>
    <w:rsid w:val="0067616C"/>
    <w:rsid w:val="00676C30"/>
    <w:rsid w:val="0067717D"/>
    <w:rsid w:val="006779DF"/>
    <w:rsid w:val="00677A31"/>
    <w:rsid w:val="006807EF"/>
    <w:rsid w:val="006808DD"/>
    <w:rsid w:val="0068095F"/>
    <w:rsid w:val="00680F2F"/>
    <w:rsid w:val="0068212A"/>
    <w:rsid w:val="006825CF"/>
    <w:rsid w:val="006832FA"/>
    <w:rsid w:val="00683B33"/>
    <w:rsid w:val="0068498B"/>
    <w:rsid w:val="00686EED"/>
    <w:rsid w:val="00686F49"/>
    <w:rsid w:val="006903A8"/>
    <w:rsid w:val="00690F89"/>
    <w:rsid w:val="00691408"/>
    <w:rsid w:val="0069148C"/>
    <w:rsid w:val="006915BA"/>
    <w:rsid w:val="00691A2B"/>
    <w:rsid w:val="00692051"/>
    <w:rsid w:val="00692B3E"/>
    <w:rsid w:val="006934DB"/>
    <w:rsid w:val="00693693"/>
    <w:rsid w:val="00693DAC"/>
    <w:rsid w:val="00694AB8"/>
    <w:rsid w:val="00694B75"/>
    <w:rsid w:val="006957B0"/>
    <w:rsid w:val="0069599B"/>
    <w:rsid w:val="0069601B"/>
    <w:rsid w:val="006960E4"/>
    <w:rsid w:val="00696D72"/>
    <w:rsid w:val="006976AE"/>
    <w:rsid w:val="00697CD3"/>
    <w:rsid w:val="00697FE9"/>
    <w:rsid w:val="006A086E"/>
    <w:rsid w:val="006A08F7"/>
    <w:rsid w:val="006A0D21"/>
    <w:rsid w:val="006A2476"/>
    <w:rsid w:val="006A2BB8"/>
    <w:rsid w:val="006A38E4"/>
    <w:rsid w:val="006A47D8"/>
    <w:rsid w:val="006A64D3"/>
    <w:rsid w:val="006A7328"/>
    <w:rsid w:val="006A77AE"/>
    <w:rsid w:val="006A7812"/>
    <w:rsid w:val="006A7C45"/>
    <w:rsid w:val="006A7EA4"/>
    <w:rsid w:val="006A7F02"/>
    <w:rsid w:val="006B0376"/>
    <w:rsid w:val="006B1143"/>
    <w:rsid w:val="006B2842"/>
    <w:rsid w:val="006B2E6B"/>
    <w:rsid w:val="006B306B"/>
    <w:rsid w:val="006B33C6"/>
    <w:rsid w:val="006B3504"/>
    <w:rsid w:val="006B3BB7"/>
    <w:rsid w:val="006B4401"/>
    <w:rsid w:val="006B4831"/>
    <w:rsid w:val="006B57D3"/>
    <w:rsid w:val="006B590D"/>
    <w:rsid w:val="006B66C4"/>
    <w:rsid w:val="006B705B"/>
    <w:rsid w:val="006B744F"/>
    <w:rsid w:val="006C0089"/>
    <w:rsid w:val="006C0885"/>
    <w:rsid w:val="006C0AB2"/>
    <w:rsid w:val="006C0ED3"/>
    <w:rsid w:val="006C185E"/>
    <w:rsid w:val="006C1A47"/>
    <w:rsid w:val="006C1AF3"/>
    <w:rsid w:val="006C20D6"/>
    <w:rsid w:val="006C2241"/>
    <w:rsid w:val="006C266D"/>
    <w:rsid w:val="006C316C"/>
    <w:rsid w:val="006C3495"/>
    <w:rsid w:val="006C392A"/>
    <w:rsid w:val="006C471C"/>
    <w:rsid w:val="006C4EB5"/>
    <w:rsid w:val="006C523A"/>
    <w:rsid w:val="006C55AB"/>
    <w:rsid w:val="006C5BFF"/>
    <w:rsid w:val="006C5D2E"/>
    <w:rsid w:val="006C6274"/>
    <w:rsid w:val="006C7D1F"/>
    <w:rsid w:val="006C7F85"/>
    <w:rsid w:val="006D0AFF"/>
    <w:rsid w:val="006D1075"/>
    <w:rsid w:val="006D1296"/>
    <w:rsid w:val="006D156C"/>
    <w:rsid w:val="006D1F41"/>
    <w:rsid w:val="006D25FD"/>
    <w:rsid w:val="006D2720"/>
    <w:rsid w:val="006D2DC7"/>
    <w:rsid w:val="006D312E"/>
    <w:rsid w:val="006D3265"/>
    <w:rsid w:val="006D4C17"/>
    <w:rsid w:val="006D4D76"/>
    <w:rsid w:val="006D4FFE"/>
    <w:rsid w:val="006D60E2"/>
    <w:rsid w:val="006D6553"/>
    <w:rsid w:val="006D6A8A"/>
    <w:rsid w:val="006D73CF"/>
    <w:rsid w:val="006D7F16"/>
    <w:rsid w:val="006E0758"/>
    <w:rsid w:val="006E0DD5"/>
    <w:rsid w:val="006E0FCF"/>
    <w:rsid w:val="006E1D8A"/>
    <w:rsid w:val="006E2312"/>
    <w:rsid w:val="006E28A2"/>
    <w:rsid w:val="006E2DB2"/>
    <w:rsid w:val="006E2E21"/>
    <w:rsid w:val="006E3829"/>
    <w:rsid w:val="006E3DE0"/>
    <w:rsid w:val="006E48E7"/>
    <w:rsid w:val="006E4B4C"/>
    <w:rsid w:val="006E4C15"/>
    <w:rsid w:val="006E4FFD"/>
    <w:rsid w:val="006E54B2"/>
    <w:rsid w:val="006E5500"/>
    <w:rsid w:val="006E57DD"/>
    <w:rsid w:val="006E6A59"/>
    <w:rsid w:val="006E72DD"/>
    <w:rsid w:val="006F0193"/>
    <w:rsid w:val="006F14AE"/>
    <w:rsid w:val="006F1826"/>
    <w:rsid w:val="006F1E12"/>
    <w:rsid w:val="006F39AC"/>
    <w:rsid w:val="006F49F7"/>
    <w:rsid w:val="006F520A"/>
    <w:rsid w:val="006F53C0"/>
    <w:rsid w:val="006F68EF"/>
    <w:rsid w:val="006F6B37"/>
    <w:rsid w:val="006F6EB9"/>
    <w:rsid w:val="006F6F3B"/>
    <w:rsid w:val="006F755F"/>
    <w:rsid w:val="006F7D11"/>
    <w:rsid w:val="0070045D"/>
    <w:rsid w:val="007012D1"/>
    <w:rsid w:val="007013E2"/>
    <w:rsid w:val="007024B6"/>
    <w:rsid w:val="00702974"/>
    <w:rsid w:val="007030C4"/>
    <w:rsid w:val="00703201"/>
    <w:rsid w:val="00704055"/>
    <w:rsid w:val="00704242"/>
    <w:rsid w:val="007058AC"/>
    <w:rsid w:val="00706A05"/>
    <w:rsid w:val="00706F62"/>
    <w:rsid w:val="0070719F"/>
    <w:rsid w:val="00710C22"/>
    <w:rsid w:val="00710CF9"/>
    <w:rsid w:val="00711E63"/>
    <w:rsid w:val="00712006"/>
    <w:rsid w:val="00712418"/>
    <w:rsid w:val="00712839"/>
    <w:rsid w:val="00712E0E"/>
    <w:rsid w:val="00712F09"/>
    <w:rsid w:val="00713200"/>
    <w:rsid w:val="007151B9"/>
    <w:rsid w:val="007155AC"/>
    <w:rsid w:val="00715938"/>
    <w:rsid w:val="00720D14"/>
    <w:rsid w:val="0072135B"/>
    <w:rsid w:val="007217F5"/>
    <w:rsid w:val="0072278C"/>
    <w:rsid w:val="00722FBF"/>
    <w:rsid w:val="0072303B"/>
    <w:rsid w:val="007233AE"/>
    <w:rsid w:val="00723B85"/>
    <w:rsid w:val="00724167"/>
    <w:rsid w:val="0072443B"/>
    <w:rsid w:val="00724932"/>
    <w:rsid w:val="00725A41"/>
    <w:rsid w:val="00726ABB"/>
    <w:rsid w:val="00727500"/>
    <w:rsid w:val="00727A2C"/>
    <w:rsid w:val="00727F3A"/>
    <w:rsid w:val="00730B68"/>
    <w:rsid w:val="00730C4F"/>
    <w:rsid w:val="007333AE"/>
    <w:rsid w:val="00733806"/>
    <w:rsid w:val="00734908"/>
    <w:rsid w:val="00734F9A"/>
    <w:rsid w:val="007350D7"/>
    <w:rsid w:val="00735E55"/>
    <w:rsid w:val="00736B20"/>
    <w:rsid w:val="007371D8"/>
    <w:rsid w:val="00737839"/>
    <w:rsid w:val="0074056A"/>
    <w:rsid w:val="007410FB"/>
    <w:rsid w:val="0074152D"/>
    <w:rsid w:val="007416A5"/>
    <w:rsid w:val="00742384"/>
    <w:rsid w:val="0074247D"/>
    <w:rsid w:val="00742F9D"/>
    <w:rsid w:val="00743B09"/>
    <w:rsid w:val="007450EF"/>
    <w:rsid w:val="007459F1"/>
    <w:rsid w:val="00745AEC"/>
    <w:rsid w:val="007461E2"/>
    <w:rsid w:val="00746ABA"/>
    <w:rsid w:val="00747B57"/>
    <w:rsid w:val="00747D49"/>
    <w:rsid w:val="00750ED3"/>
    <w:rsid w:val="0075124F"/>
    <w:rsid w:val="00751D1B"/>
    <w:rsid w:val="00752727"/>
    <w:rsid w:val="0075286A"/>
    <w:rsid w:val="00752984"/>
    <w:rsid w:val="00752AA9"/>
    <w:rsid w:val="00752CD8"/>
    <w:rsid w:val="007549C0"/>
    <w:rsid w:val="007558CD"/>
    <w:rsid w:val="0075598B"/>
    <w:rsid w:val="00755B92"/>
    <w:rsid w:val="00756B7D"/>
    <w:rsid w:val="00757663"/>
    <w:rsid w:val="0076015B"/>
    <w:rsid w:val="0076041D"/>
    <w:rsid w:val="007604CB"/>
    <w:rsid w:val="00760957"/>
    <w:rsid w:val="007610B2"/>
    <w:rsid w:val="007612E2"/>
    <w:rsid w:val="00761B06"/>
    <w:rsid w:val="00761FFF"/>
    <w:rsid w:val="007626EF"/>
    <w:rsid w:val="007628F2"/>
    <w:rsid w:val="007636BE"/>
    <w:rsid w:val="007641C4"/>
    <w:rsid w:val="00764377"/>
    <w:rsid w:val="0076437B"/>
    <w:rsid w:val="00764717"/>
    <w:rsid w:val="00764C3A"/>
    <w:rsid w:val="0076500A"/>
    <w:rsid w:val="0076539D"/>
    <w:rsid w:val="0076625D"/>
    <w:rsid w:val="007673D1"/>
    <w:rsid w:val="0076747F"/>
    <w:rsid w:val="007677B1"/>
    <w:rsid w:val="007677F8"/>
    <w:rsid w:val="00767ADD"/>
    <w:rsid w:val="00767BEC"/>
    <w:rsid w:val="00767C2A"/>
    <w:rsid w:val="00770B7C"/>
    <w:rsid w:val="00770D62"/>
    <w:rsid w:val="00770DE8"/>
    <w:rsid w:val="007719D1"/>
    <w:rsid w:val="00771D47"/>
    <w:rsid w:val="007724B1"/>
    <w:rsid w:val="00773DE2"/>
    <w:rsid w:val="007741EB"/>
    <w:rsid w:val="007745D6"/>
    <w:rsid w:val="00774F92"/>
    <w:rsid w:val="00775677"/>
    <w:rsid w:val="00776A92"/>
    <w:rsid w:val="00776E98"/>
    <w:rsid w:val="007773C7"/>
    <w:rsid w:val="00777788"/>
    <w:rsid w:val="007803E6"/>
    <w:rsid w:val="00780566"/>
    <w:rsid w:val="0078094B"/>
    <w:rsid w:val="00780CC2"/>
    <w:rsid w:val="00781472"/>
    <w:rsid w:val="0078169B"/>
    <w:rsid w:val="007819AC"/>
    <w:rsid w:val="00781F3E"/>
    <w:rsid w:val="007827E0"/>
    <w:rsid w:val="00782BEC"/>
    <w:rsid w:val="00782CA2"/>
    <w:rsid w:val="00783C9C"/>
    <w:rsid w:val="00783EE2"/>
    <w:rsid w:val="00784884"/>
    <w:rsid w:val="0078512B"/>
    <w:rsid w:val="007853D0"/>
    <w:rsid w:val="00785465"/>
    <w:rsid w:val="00785BDF"/>
    <w:rsid w:val="007864C7"/>
    <w:rsid w:val="007905D5"/>
    <w:rsid w:val="0079234B"/>
    <w:rsid w:val="00792855"/>
    <w:rsid w:val="007949E0"/>
    <w:rsid w:val="0079598A"/>
    <w:rsid w:val="00796B30"/>
    <w:rsid w:val="00797206"/>
    <w:rsid w:val="0079776F"/>
    <w:rsid w:val="00797A42"/>
    <w:rsid w:val="007A0206"/>
    <w:rsid w:val="007A051E"/>
    <w:rsid w:val="007A0E8F"/>
    <w:rsid w:val="007A1164"/>
    <w:rsid w:val="007A15B4"/>
    <w:rsid w:val="007A15E1"/>
    <w:rsid w:val="007A17E8"/>
    <w:rsid w:val="007A3158"/>
    <w:rsid w:val="007A3235"/>
    <w:rsid w:val="007A3A1F"/>
    <w:rsid w:val="007A3A87"/>
    <w:rsid w:val="007A3B09"/>
    <w:rsid w:val="007A4247"/>
    <w:rsid w:val="007A4586"/>
    <w:rsid w:val="007A4F74"/>
    <w:rsid w:val="007A55D1"/>
    <w:rsid w:val="007A588E"/>
    <w:rsid w:val="007A682B"/>
    <w:rsid w:val="007A6F0D"/>
    <w:rsid w:val="007A7348"/>
    <w:rsid w:val="007B04E7"/>
    <w:rsid w:val="007B3604"/>
    <w:rsid w:val="007B3F24"/>
    <w:rsid w:val="007B442B"/>
    <w:rsid w:val="007B47DE"/>
    <w:rsid w:val="007B4C7C"/>
    <w:rsid w:val="007B4F73"/>
    <w:rsid w:val="007B5234"/>
    <w:rsid w:val="007B590F"/>
    <w:rsid w:val="007B5AD1"/>
    <w:rsid w:val="007B5B62"/>
    <w:rsid w:val="007B5CFA"/>
    <w:rsid w:val="007B6521"/>
    <w:rsid w:val="007C0208"/>
    <w:rsid w:val="007C119D"/>
    <w:rsid w:val="007C1481"/>
    <w:rsid w:val="007C1706"/>
    <w:rsid w:val="007C1CE2"/>
    <w:rsid w:val="007C2864"/>
    <w:rsid w:val="007C2873"/>
    <w:rsid w:val="007C32B5"/>
    <w:rsid w:val="007C37E7"/>
    <w:rsid w:val="007C3A95"/>
    <w:rsid w:val="007C3BB8"/>
    <w:rsid w:val="007C4CA9"/>
    <w:rsid w:val="007C5782"/>
    <w:rsid w:val="007C5E4D"/>
    <w:rsid w:val="007C6140"/>
    <w:rsid w:val="007D0312"/>
    <w:rsid w:val="007D133B"/>
    <w:rsid w:val="007D138A"/>
    <w:rsid w:val="007D1973"/>
    <w:rsid w:val="007D2DCC"/>
    <w:rsid w:val="007D447C"/>
    <w:rsid w:val="007D44C7"/>
    <w:rsid w:val="007D466B"/>
    <w:rsid w:val="007D47AF"/>
    <w:rsid w:val="007D48A5"/>
    <w:rsid w:val="007D4DDB"/>
    <w:rsid w:val="007D51FC"/>
    <w:rsid w:val="007D5461"/>
    <w:rsid w:val="007D5F96"/>
    <w:rsid w:val="007D70CA"/>
    <w:rsid w:val="007D70F5"/>
    <w:rsid w:val="007E0ED3"/>
    <w:rsid w:val="007E0ED7"/>
    <w:rsid w:val="007E11D4"/>
    <w:rsid w:val="007E1EC3"/>
    <w:rsid w:val="007E214D"/>
    <w:rsid w:val="007E2734"/>
    <w:rsid w:val="007E3486"/>
    <w:rsid w:val="007E3663"/>
    <w:rsid w:val="007E442C"/>
    <w:rsid w:val="007E4722"/>
    <w:rsid w:val="007E4F03"/>
    <w:rsid w:val="007E529B"/>
    <w:rsid w:val="007E7A1D"/>
    <w:rsid w:val="007F069C"/>
    <w:rsid w:val="007F0ADD"/>
    <w:rsid w:val="007F0B41"/>
    <w:rsid w:val="007F0CD2"/>
    <w:rsid w:val="007F16E2"/>
    <w:rsid w:val="007F1BD9"/>
    <w:rsid w:val="007F1CBD"/>
    <w:rsid w:val="007F2745"/>
    <w:rsid w:val="007F31A2"/>
    <w:rsid w:val="007F3BAC"/>
    <w:rsid w:val="007F3F2E"/>
    <w:rsid w:val="007F4B19"/>
    <w:rsid w:val="007F4BD7"/>
    <w:rsid w:val="007F4C24"/>
    <w:rsid w:val="007F53D3"/>
    <w:rsid w:val="007F5662"/>
    <w:rsid w:val="007F5D9E"/>
    <w:rsid w:val="007F71BC"/>
    <w:rsid w:val="007F76E2"/>
    <w:rsid w:val="00800122"/>
    <w:rsid w:val="00800B1A"/>
    <w:rsid w:val="00800DE7"/>
    <w:rsid w:val="008021AE"/>
    <w:rsid w:val="00802352"/>
    <w:rsid w:val="00802F49"/>
    <w:rsid w:val="00803C33"/>
    <w:rsid w:val="0080569D"/>
    <w:rsid w:val="00805F29"/>
    <w:rsid w:val="008075D8"/>
    <w:rsid w:val="008109F3"/>
    <w:rsid w:val="00811276"/>
    <w:rsid w:val="008115EA"/>
    <w:rsid w:val="00813045"/>
    <w:rsid w:val="008132D5"/>
    <w:rsid w:val="00813575"/>
    <w:rsid w:val="00813C72"/>
    <w:rsid w:val="00813F20"/>
    <w:rsid w:val="0081530A"/>
    <w:rsid w:val="00815391"/>
    <w:rsid w:val="00815A0D"/>
    <w:rsid w:val="00815E67"/>
    <w:rsid w:val="00816077"/>
    <w:rsid w:val="00816645"/>
    <w:rsid w:val="008167C6"/>
    <w:rsid w:val="0081729B"/>
    <w:rsid w:val="008174B9"/>
    <w:rsid w:val="00817B42"/>
    <w:rsid w:val="008201C9"/>
    <w:rsid w:val="0082026F"/>
    <w:rsid w:val="0082036F"/>
    <w:rsid w:val="00820F97"/>
    <w:rsid w:val="00821076"/>
    <w:rsid w:val="00821FF1"/>
    <w:rsid w:val="00822A2B"/>
    <w:rsid w:val="00822BF1"/>
    <w:rsid w:val="008233BD"/>
    <w:rsid w:val="00823581"/>
    <w:rsid w:val="00823DAD"/>
    <w:rsid w:val="00823F23"/>
    <w:rsid w:val="00825341"/>
    <w:rsid w:val="008256C1"/>
    <w:rsid w:val="00825BC8"/>
    <w:rsid w:val="00825F10"/>
    <w:rsid w:val="008271FC"/>
    <w:rsid w:val="0082777D"/>
    <w:rsid w:val="00827BD8"/>
    <w:rsid w:val="0083030F"/>
    <w:rsid w:val="00830591"/>
    <w:rsid w:val="00830DC3"/>
    <w:rsid w:val="00831589"/>
    <w:rsid w:val="00832CE5"/>
    <w:rsid w:val="008333D8"/>
    <w:rsid w:val="00833AB5"/>
    <w:rsid w:val="00833C54"/>
    <w:rsid w:val="00836A86"/>
    <w:rsid w:val="00836C49"/>
    <w:rsid w:val="00837694"/>
    <w:rsid w:val="008400CA"/>
    <w:rsid w:val="00840EF6"/>
    <w:rsid w:val="00841161"/>
    <w:rsid w:val="00841601"/>
    <w:rsid w:val="00841789"/>
    <w:rsid w:val="008417B9"/>
    <w:rsid w:val="00842481"/>
    <w:rsid w:val="00842A0E"/>
    <w:rsid w:val="00842C71"/>
    <w:rsid w:val="00842CA4"/>
    <w:rsid w:val="00843B34"/>
    <w:rsid w:val="00843E13"/>
    <w:rsid w:val="008443ED"/>
    <w:rsid w:val="00844DDE"/>
    <w:rsid w:val="00844FE5"/>
    <w:rsid w:val="00846AA7"/>
    <w:rsid w:val="008476A6"/>
    <w:rsid w:val="0085030A"/>
    <w:rsid w:val="0085079A"/>
    <w:rsid w:val="00850AD4"/>
    <w:rsid w:val="00851E35"/>
    <w:rsid w:val="0085267E"/>
    <w:rsid w:val="008528D7"/>
    <w:rsid w:val="00852DCB"/>
    <w:rsid w:val="00853733"/>
    <w:rsid w:val="00853814"/>
    <w:rsid w:val="0085391F"/>
    <w:rsid w:val="008543D9"/>
    <w:rsid w:val="00854481"/>
    <w:rsid w:val="0085547C"/>
    <w:rsid w:val="008554AF"/>
    <w:rsid w:val="00855501"/>
    <w:rsid w:val="008559B4"/>
    <w:rsid w:val="008559E9"/>
    <w:rsid w:val="008564B0"/>
    <w:rsid w:val="00856626"/>
    <w:rsid w:val="008568FF"/>
    <w:rsid w:val="00856CD3"/>
    <w:rsid w:val="008571DA"/>
    <w:rsid w:val="00857CC9"/>
    <w:rsid w:val="00857FAC"/>
    <w:rsid w:val="00857FDD"/>
    <w:rsid w:val="00860BA7"/>
    <w:rsid w:val="008621BB"/>
    <w:rsid w:val="00862435"/>
    <w:rsid w:val="00862D43"/>
    <w:rsid w:val="008634FC"/>
    <w:rsid w:val="00863513"/>
    <w:rsid w:val="008637F6"/>
    <w:rsid w:val="00863D42"/>
    <w:rsid w:val="00863E5E"/>
    <w:rsid w:val="00864F4A"/>
    <w:rsid w:val="00864FC9"/>
    <w:rsid w:val="008653F0"/>
    <w:rsid w:val="008657E9"/>
    <w:rsid w:val="00865835"/>
    <w:rsid w:val="00865C53"/>
    <w:rsid w:val="0086613F"/>
    <w:rsid w:val="008670FC"/>
    <w:rsid w:val="0086732B"/>
    <w:rsid w:val="00867D8D"/>
    <w:rsid w:val="0087031F"/>
    <w:rsid w:val="00871909"/>
    <w:rsid w:val="00871BF8"/>
    <w:rsid w:val="00871F89"/>
    <w:rsid w:val="008722B9"/>
    <w:rsid w:val="00873332"/>
    <w:rsid w:val="0087353F"/>
    <w:rsid w:val="0087385B"/>
    <w:rsid w:val="008749AD"/>
    <w:rsid w:val="00874C5C"/>
    <w:rsid w:val="008755DB"/>
    <w:rsid w:val="00875DB3"/>
    <w:rsid w:val="00875FB7"/>
    <w:rsid w:val="008760B6"/>
    <w:rsid w:val="0087694B"/>
    <w:rsid w:val="008777C4"/>
    <w:rsid w:val="00877E76"/>
    <w:rsid w:val="008803EC"/>
    <w:rsid w:val="0088059B"/>
    <w:rsid w:val="008809A3"/>
    <w:rsid w:val="0088285E"/>
    <w:rsid w:val="00882932"/>
    <w:rsid w:val="00882C94"/>
    <w:rsid w:val="00882D51"/>
    <w:rsid w:val="008835A5"/>
    <w:rsid w:val="00883883"/>
    <w:rsid w:val="00883B13"/>
    <w:rsid w:val="00883D8B"/>
    <w:rsid w:val="008846A5"/>
    <w:rsid w:val="00885232"/>
    <w:rsid w:val="00885260"/>
    <w:rsid w:val="00885896"/>
    <w:rsid w:val="00885E38"/>
    <w:rsid w:val="00886F0A"/>
    <w:rsid w:val="0088707D"/>
    <w:rsid w:val="008871CE"/>
    <w:rsid w:val="008876A4"/>
    <w:rsid w:val="00887918"/>
    <w:rsid w:val="00890659"/>
    <w:rsid w:val="00890D20"/>
    <w:rsid w:val="00890D50"/>
    <w:rsid w:val="0089175B"/>
    <w:rsid w:val="00892694"/>
    <w:rsid w:val="00892F1C"/>
    <w:rsid w:val="008952DE"/>
    <w:rsid w:val="008957D9"/>
    <w:rsid w:val="00895A0C"/>
    <w:rsid w:val="00895A3A"/>
    <w:rsid w:val="00895B52"/>
    <w:rsid w:val="00895E58"/>
    <w:rsid w:val="00896800"/>
    <w:rsid w:val="00896CF4"/>
    <w:rsid w:val="00897856"/>
    <w:rsid w:val="0089793A"/>
    <w:rsid w:val="00897B12"/>
    <w:rsid w:val="00897CA6"/>
    <w:rsid w:val="008A028F"/>
    <w:rsid w:val="008A0F0A"/>
    <w:rsid w:val="008A10E0"/>
    <w:rsid w:val="008A1DF4"/>
    <w:rsid w:val="008A21F3"/>
    <w:rsid w:val="008A2999"/>
    <w:rsid w:val="008A2D7B"/>
    <w:rsid w:val="008A39F5"/>
    <w:rsid w:val="008A4ABC"/>
    <w:rsid w:val="008A4B8E"/>
    <w:rsid w:val="008A4D3F"/>
    <w:rsid w:val="008A50B3"/>
    <w:rsid w:val="008A631F"/>
    <w:rsid w:val="008A66AC"/>
    <w:rsid w:val="008A6771"/>
    <w:rsid w:val="008A6A52"/>
    <w:rsid w:val="008A77E0"/>
    <w:rsid w:val="008A7F03"/>
    <w:rsid w:val="008A7F4D"/>
    <w:rsid w:val="008A7FC6"/>
    <w:rsid w:val="008B08F6"/>
    <w:rsid w:val="008B0E1B"/>
    <w:rsid w:val="008B100D"/>
    <w:rsid w:val="008B31BB"/>
    <w:rsid w:val="008B353F"/>
    <w:rsid w:val="008B379B"/>
    <w:rsid w:val="008B3A7F"/>
    <w:rsid w:val="008B3CDF"/>
    <w:rsid w:val="008B3F39"/>
    <w:rsid w:val="008B40DB"/>
    <w:rsid w:val="008B49C3"/>
    <w:rsid w:val="008B4F19"/>
    <w:rsid w:val="008B5232"/>
    <w:rsid w:val="008B5403"/>
    <w:rsid w:val="008B5653"/>
    <w:rsid w:val="008B5785"/>
    <w:rsid w:val="008B6339"/>
    <w:rsid w:val="008B647E"/>
    <w:rsid w:val="008B6A14"/>
    <w:rsid w:val="008B6B53"/>
    <w:rsid w:val="008B784E"/>
    <w:rsid w:val="008B7B50"/>
    <w:rsid w:val="008B7D52"/>
    <w:rsid w:val="008C05EA"/>
    <w:rsid w:val="008C1FEA"/>
    <w:rsid w:val="008C20E2"/>
    <w:rsid w:val="008C25F0"/>
    <w:rsid w:val="008C290B"/>
    <w:rsid w:val="008C3CE2"/>
    <w:rsid w:val="008C475F"/>
    <w:rsid w:val="008C4F0F"/>
    <w:rsid w:val="008C6838"/>
    <w:rsid w:val="008C6D4E"/>
    <w:rsid w:val="008C6EDD"/>
    <w:rsid w:val="008C7689"/>
    <w:rsid w:val="008C7A35"/>
    <w:rsid w:val="008C7EF8"/>
    <w:rsid w:val="008D0AFE"/>
    <w:rsid w:val="008D0C42"/>
    <w:rsid w:val="008D1713"/>
    <w:rsid w:val="008D2C20"/>
    <w:rsid w:val="008D373D"/>
    <w:rsid w:val="008D400D"/>
    <w:rsid w:val="008D431D"/>
    <w:rsid w:val="008D470C"/>
    <w:rsid w:val="008D4B30"/>
    <w:rsid w:val="008D565E"/>
    <w:rsid w:val="008D5BE9"/>
    <w:rsid w:val="008D5DEE"/>
    <w:rsid w:val="008D63C8"/>
    <w:rsid w:val="008D67F1"/>
    <w:rsid w:val="008D707B"/>
    <w:rsid w:val="008D72D9"/>
    <w:rsid w:val="008E0873"/>
    <w:rsid w:val="008E0AF5"/>
    <w:rsid w:val="008E0F96"/>
    <w:rsid w:val="008E0FF5"/>
    <w:rsid w:val="008E1343"/>
    <w:rsid w:val="008E15C8"/>
    <w:rsid w:val="008E1818"/>
    <w:rsid w:val="008E1EE0"/>
    <w:rsid w:val="008E27CD"/>
    <w:rsid w:val="008E3C39"/>
    <w:rsid w:val="008E3F6B"/>
    <w:rsid w:val="008E429D"/>
    <w:rsid w:val="008E509B"/>
    <w:rsid w:val="008E6266"/>
    <w:rsid w:val="008E6A78"/>
    <w:rsid w:val="008E7258"/>
    <w:rsid w:val="008E7729"/>
    <w:rsid w:val="008F0347"/>
    <w:rsid w:val="008F054C"/>
    <w:rsid w:val="008F05F9"/>
    <w:rsid w:val="008F1279"/>
    <w:rsid w:val="008F2ACC"/>
    <w:rsid w:val="008F2FF7"/>
    <w:rsid w:val="008F37D9"/>
    <w:rsid w:val="008F3D33"/>
    <w:rsid w:val="008F3DC2"/>
    <w:rsid w:val="008F4866"/>
    <w:rsid w:val="008F4B85"/>
    <w:rsid w:val="008F4EB5"/>
    <w:rsid w:val="008F5C8D"/>
    <w:rsid w:val="008F663B"/>
    <w:rsid w:val="008F6B11"/>
    <w:rsid w:val="008F6FE8"/>
    <w:rsid w:val="008F7690"/>
    <w:rsid w:val="00901023"/>
    <w:rsid w:val="0090241F"/>
    <w:rsid w:val="00902A36"/>
    <w:rsid w:val="00902C05"/>
    <w:rsid w:val="00903F49"/>
    <w:rsid w:val="009047B4"/>
    <w:rsid w:val="009049C4"/>
    <w:rsid w:val="00904A7C"/>
    <w:rsid w:val="00906C22"/>
    <w:rsid w:val="00906C3C"/>
    <w:rsid w:val="00906DDB"/>
    <w:rsid w:val="00907535"/>
    <w:rsid w:val="00907A94"/>
    <w:rsid w:val="00907EAA"/>
    <w:rsid w:val="00907F20"/>
    <w:rsid w:val="00910008"/>
    <w:rsid w:val="00910460"/>
    <w:rsid w:val="00911A72"/>
    <w:rsid w:val="00912419"/>
    <w:rsid w:val="00912A1C"/>
    <w:rsid w:val="009131FC"/>
    <w:rsid w:val="00913A5E"/>
    <w:rsid w:val="00913F8B"/>
    <w:rsid w:val="00914894"/>
    <w:rsid w:val="00914E4B"/>
    <w:rsid w:val="009150ED"/>
    <w:rsid w:val="0091557C"/>
    <w:rsid w:val="0091567C"/>
    <w:rsid w:val="00915B3C"/>
    <w:rsid w:val="00915D62"/>
    <w:rsid w:val="00915F37"/>
    <w:rsid w:val="00917746"/>
    <w:rsid w:val="0091776E"/>
    <w:rsid w:val="009177C5"/>
    <w:rsid w:val="00917D88"/>
    <w:rsid w:val="00917F3B"/>
    <w:rsid w:val="0092029A"/>
    <w:rsid w:val="00920D6F"/>
    <w:rsid w:val="009216B7"/>
    <w:rsid w:val="00922159"/>
    <w:rsid w:val="009222EC"/>
    <w:rsid w:val="009227BA"/>
    <w:rsid w:val="009237AC"/>
    <w:rsid w:val="00923DCB"/>
    <w:rsid w:val="00923E81"/>
    <w:rsid w:val="00923F1C"/>
    <w:rsid w:val="00926356"/>
    <w:rsid w:val="00926D8D"/>
    <w:rsid w:val="009271B4"/>
    <w:rsid w:val="009274D4"/>
    <w:rsid w:val="00930786"/>
    <w:rsid w:val="009307C3"/>
    <w:rsid w:val="00930AE3"/>
    <w:rsid w:val="00931D9C"/>
    <w:rsid w:val="00931F46"/>
    <w:rsid w:val="00931F58"/>
    <w:rsid w:val="00932477"/>
    <w:rsid w:val="00932664"/>
    <w:rsid w:val="00933807"/>
    <w:rsid w:val="009338FB"/>
    <w:rsid w:val="00933933"/>
    <w:rsid w:val="00933C3E"/>
    <w:rsid w:val="009348C9"/>
    <w:rsid w:val="00934934"/>
    <w:rsid w:val="00936327"/>
    <w:rsid w:val="0093727C"/>
    <w:rsid w:val="00937339"/>
    <w:rsid w:val="009400D1"/>
    <w:rsid w:val="00940180"/>
    <w:rsid w:val="00940924"/>
    <w:rsid w:val="009414E5"/>
    <w:rsid w:val="00943685"/>
    <w:rsid w:val="00943B88"/>
    <w:rsid w:val="00943F73"/>
    <w:rsid w:val="009443FB"/>
    <w:rsid w:val="00945026"/>
    <w:rsid w:val="009451DC"/>
    <w:rsid w:val="0094555E"/>
    <w:rsid w:val="00947628"/>
    <w:rsid w:val="00947BB8"/>
    <w:rsid w:val="00947FEB"/>
    <w:rsid w:val="009508EF"/>
    <w:rsid w:val="009516BC"/>
    <w:rsid w:val="0095171F"/>
    <w:rsid w:val="00952AAC"/>
    <w:rsid w:val="00953040"/>
    <w:rsid w:val="009539B3"/>
    <w:rsid w:val="009547AA"/>
    <w:rsid w:val="009549F8"/>
    <w:rsid w:val="00955387"/>
    <w:rsid w:val="00955AC1"/>
    <w:rsid w:val="00955C39"/>
    <w:rsid w:val="00955C78"/>
    <w:rsid w:val="00956720"/>
    <w:rsid w:val="009570E6"/>
    <w:rsid w:val="0095742C"/>
    <w:rsid w:val="0095747F"/>
    <w:rsid w:val="00960329"/>
    <w:rsid w:val="00960503"/>
    <w:rsid w:val="009608FE"/>
    <w:rsid w:val="00961250"/>
    <w:rsid w:val="009617F1"/>
    <w:rsid w:val="00962560"/>
    <w:rsid w:val="009628BF"/>
    <w:rsid w:val="0096299A"/>
    <w:rsid w:val="009629FF"/>
    <w:rsid w:val="00962D50"/>
    <w:rsid w:val="00963512"/>
    <w:rsid w:val="00963B1B"/>
    <w:rsid w:val="00964046"/>
    <w:rsid w:val="0096546E"/>
    <w:rsid w:val="009654DE"/>
    <w:rsid w:val="0096597A"/>
    <w:rsid w:val="00965AF9"/>
    <w:rsid w:val="00965FC1"/>
    <w:rsid w:val="0096658A"/>
    <w:rsid w:val="009665F1"/>
    <w:rsid w:val="00966FB4"/>
    <w:rsid w:val="00967B15"/>
    <w:rsid w:val="00967ED4"/>
    <w:rsid w:val="009708FE"/>
    <w:rsid w:val="00971174"/>
    <w:rsid w:val="00971758"/>
    <w:rsid w:val="00971B2B"/>
    <w:rsid w:val="00971FFC"/>
    <w:rsid w:val="00972135"/>
    <w:rsid w:val="00972311"/>
    <w:rsid w:val="0097284F"/>
    <w:rsid w:val="0097308A"/>
    <w:rsid w:val="009731AE"/>
    <w:rsid w:val="00973460"/>
    <w:rsid w:val="00974464"/>
    <w:rsid w:val="009744C5"/>
    <w:rsid w:val="00976F0F"/>
    <w:rsid w:val="009773FA"/>
    <w:rsid w:val="0097787F"/>
    <w:rsid w:val="009801EB"/>
    <w:rsid w:val="0098030F"/>
    <w:rsid w:val="00980D55"/>
    <w:rsid w:val="00981736"/>
    <w:rsid w:val="00981F4D"/>
    <w:rsid w:val="00982833"/>
    <w:rsid w:val="00983E8D"/>
    <w:rsid w:val="0098435E"/>
    <w:rsid w:val="00984438"/>
    <w:rsid w:val="0098491C"/>
    <w:rsid w:val="009849A0"/>
    <w:rsid w:val="009857BF"/>
    <w:rsid w:val="00985C20"/>
    <w:rsid w:val="00986064"/>
    <w:rsid w:val="00987435"/>
    <w:rsid w:val="00987515"/>
    <w:rsid w:val="00987A70"/>
    <w:rsid w:val="00987AB7"/>
    <w:rsid w:val="00987F4E"/>
    <w:rsid w:val="0099003D"/>
    <w:rsid w:val="009903C2"/>
    <w:rsid w:val="009905AE"/>
    <w:rsid w:val="00991522"/>
    <w:rsid w:val="00991C96"/>
    <w:rsid w:val="00991CD5"/>
    <w:rsid w:val="00992891"/>
    <w:rsid w:val="00992AEE"/>
    <w:rsid w:val="00993BC3"/>
    <w:rsid w:val="00993BE2"/>
    <w:rsid w:val="00993FB8"/>
    <w:rsid w:val="00994968"/>
    <w:rsid w:val="00994B48"/>
    <w:rsid w:val="0099575E"/>
    <w:rsid w:val="00995885"/>
    <w:rsid w:val="00995A97"/>
    <w:rsid w:val="0099652F"/>
    <w:rsid w:val="00996C25"/>
    <w:rsid w:val="0099738F"/>
    <w:rsid w:val="00997612"/>
    <w:rsid w:val="009A0DD0"/>
    <w:rsid w:val="009A1197"/>
    <w:rsid w:val="009A153D"/>
    <w:rsid w:val="009A16B2"/>
    <w:rsid w:val="009A1918"/>
    <w:rsid w:val="009A1B35"/>
    <w:rsid w:val="009A1B4E"/>
    <w:rsid w:val="009A20A0"/>
    <w:rsid w:val="009A20B3"/>
    <w:rsid w:val="009A2588"/>
    <w:rsid w:val="009A4110"/>
    <w:rsid w:val="009A4411"/>
    <w:rsid w:val="009A45D0"/>
    <w:rsid w:val="009A46A6"/>
    <w:rsid w:val="009A54DB"/>
    <w:rsid w:val="009A5578"/>
    <w:rsid w:val="009A569B"/>
    <w:rsid w:val="009A764B"/>
    <w:rsid w:val="009A768F"/>
    <w:rsid w:val="009B059D"/>
    <w:rsid w:val="009B16CD"/>
    <w:rsid w:val="009B1C85"/>
    <w:rsid w:val="009B26BC"/>
    <w:rsid w:val="009B295E"/>
    <w:rsid w:val="009B2FAB"/>
    <w:rsid w:val="009B3100"/>
    <w:rsid w:val="009B34D1"/>
    <w:rsid w:val="009B3DD6"/>
    <w:rsid w:val="009B41F8"/>
    <w:rsid w:val="009B4243"/>
    <w:rsid w:val="009B4705"/>
    <w:rsid w:val="009B57BE"/>
    <w:rsid w:val="009B594E"/>
    <w:rsid w:val="009B605A"/>
    <w:rsid w:val="009B63D5"/>
    <w:rsid w:val="009C046D"/>
    <w:rsid w:val="009C19C7"/>
    <w:rsid w:val="009C1FFD"/>
    <w:rsid w:val="009C20F4"/>
    <w:rsid w:val="009C24C0"/>
    <w:rsid w:val="009C27DB"/>
    <w:rsid w:val="009C28D1"/>
    <w:rsid w:val="009C2962"/>
    <w:rsid w:val="009C321C"/>
    <w:rsid w:val="009C3DD2"/>
    <w:rsid w:val="009C4B4B"/>
    <w:rsid w:val="009C5AAD"/>
    <w:rsid w:val="009C604A"/>
    <w:rsid w:val="009C6076"/>
    <w:rsid w:val="009C67BB"/>
    <w:rsid w:val="009C6959"/>
    <w:rsid w:val="009C7294"/>
    <w:rsid w:val="009D0879"/>
    <w:rsid w:val="009D0AB4"/>
    <w:rsid w:val="009D0B1F"/>
    <w:rsid w:val="009D0DFA"/>
    <w:rsid w:val="009D10AD"/>
    <w:rsid w:val="009D13D0"/>
    <w:rsid w:val="009D1B0C"/>
    <w:rsid w:val="009D1B12"/>
    <w:rsid w:val="009D255E"/>
    <w:rsid w:val="009D31E1"/>
    <w:rsid w:val="009D3339"/>
    <w:rsid w:val="009D4166"/>
    <w:rsid w:val="009D4A4F"/>
    <w:rsid w:val="009D53EE"/>
    <w:rsid w:val="009D568F"/>
    <w:rsid w:val="009D6CFE"/>
    <w:rsid w:val="009D7D02"/>
    <w:rsid w:val="009D7D81"/>
    <w:rsid w:val="009E0955"/>
    <w:rsid w:val="009E0CA6"/>
    <w:rsid w:val="009E0D34"/>
    <w:rsid w:val="009E106C"/>
    <w:rsid w:val="009E12E3"/>
    <w:rsid w:val="009E2058"/>
    <w:rsid w:val="009E29F7"/>
    <w:rsid w:val="009E2A8D"/>
    <w:rsid w:val="009E30BD"/>
    <w:rsid w:val="009E3512"/>
    <w:rsid w:val="009E353F"/>
    <w:rsid w:val="009E3A40"/>
    <w:rsid w:val="009E449B"/>
    <w:rsid w:val="009E457A"/>
    <w:rsid w:val="009E45D4"/>
    <w:rsid w:val="009E4B39"/>
    <w:rsid w:val="009E508F"/>
    <w:rsid w:val="009E5690"/>
    <w:rsid w:val="009E68E6"/>
    <w:rsid w:val="009E6967"/>
    <w:rsid w:val="009E6A3C"/>
    <w:rsid w:val="009E6B5A"/>
    <w:rsid w:val="009E74BC"/>
    <w:rsid w:val="009E7AE8"/>
    <w:rsid w:val="009F066D"/>
    <w:rsid w:val="009F0678"/>
    <w:rsid w:val="009F0F3A"/>
    <w:rsid w:val="009F1AC5"/>
    <w:rsid w:val="009F1B8E"/>
    <w:rsid w:val="009F1DDC"/>
    <w:rsid w:val="009F2435"/>
    <w:rsid w:val="009F27B9"/>
    <w:rsid w:val="009F2B6F"/>
    <w:rsid w:val="009F3157"/>
    <w:rsid w:val="009F3910"/>
    <w:rsid w:val="009F39A1"/>
    <w:rsid w:val="009F3C05"/>
    <w:rsid w:val="009F3F03"/>
    <w:rsid w:val="009F4791"/>
    <w:rsid w:val="009F513E"/>
    <w:rsid w:val="009F5AFE"/>
    <w:rsid w:val="009F6633"/>
    <w:rsid w:val="009F6F9E"/>
    <w:rsid w:val="009F6FB1"/>
    <w:rsid w:val="009F735F"/>
    <w:rsid w:val="009F764E"/>
    <w:rsid w:val="00A007EC"/>
    <w:rsid w:val="00A00895"/>
    <w:rsid w:val="00A00C6E"/>
    <w:rsid w:val="00A01893"/>
    <w:rsid w:val="00A01C31"/>
    <w:rsid w:val="00A01D55"/>
    <w:rsid w:val="00A01F0B"/>
    <w:rsid w:val="00A02301"/>
    <w:rsid w:val="00A02884"/>
    <w:rsid w:val="00A030C3"/>
    <w:rsid w:val="00A031C6"/>
    <w:rsid w:val="00A03820"/>
    <w:rsid w:val="00A03E3F"/>
    <w:rsid w:val="00A05115"/>
    <w:rsid w:val="00A054C0"/>
    <w:rsid w:val="00A060BD"/>
    <w:rsid w:val="00A060FC"/>
    <w:rsid w:val="00A0639C"/>
    <w:rsid w:val="00A07969"/>
    <w:rsid w:val="00A07C20"/>
    <w:rsid w:val="00A07C4D"/>
    <w:rsid w:val="00A112DB"/>
    <w:rsid w:val="00A11C2C"/>
    <w:rsid w:val="00A126C7"/>
    <w:rsid w:val="00A134D5"/>
    <w:rsid w:val="00A1614C"/>
    <w:rsid w:val="00A162F1"/>
    <w:rsid w:val="00A16B1D"/>
    <w:rsid w:val="00A16E69"/>
    <w:rsid w:val="00A173B3"/>
    <w:rsid w:val="00A1788C"/>
    <w:rsid w:val="00A178A5"/>
    <w:rsid w:val="00A17A38"/>
    <w:rsid w:val="00A20AD1"/>
    <w:rsid w:val="00A20C6F"/>
    <w:rsid w:val="00A21197"/>
    <w:rsid w:val="00A21F97"/>
    <w:rsid w:val="00A22075"/>
    <w:rsid w:val="00A23531"/>
    <w:rsid w:val="00A236BD"/>
    <w:rsid w:val="00A23781"/>
    <w:rsid w:val="00A25176"/>
    <w:rsid w:val="00A251B4"/>
    <w:rsid w:val="00A25C1B"/>
    <w:rsid w:val="00A26E38"/>
    <w:rsid w:val="00A30581"/>
    <w:rsid w:val="00A31772"/>
    <w:rsid w:val="00A31887"/>
    <w:rsid w:val="00A31D30"/>
    <w:rsid w:val="00A322D6"/>
    <w:rsid w:val="00A32551"/>
    <w:rsid w:val="00A32A3A"/>
    <w:rsid w:val="00A32F2F"/>
    <w:rsid w:val="00A33419"/>
    <w:rsid w:val="00A33501"/>
    <w:rsid w:val="00A336EE"/>
    <w:rsid w:val="00A33960"/>
    <w:rsid w:val="00A33A5D"/>
    <w:rsid w:val="00A356E6"/>
    <w:rsid w:val="00A35785"/>
    <w:rsid w:val="00A35CBC"/>
    <w:rsid w:val="00A3655B"/>
    <w:rsid w:val="00A36C76"/>
    <w:rsid w:val="00A36CAF"/>
    <w:rsid w:val="00A36DF3"/>
    <w:rsid w:val="00A372F6"/>
    <w:rsid w:val="00A374C6"/>
    <w:rsid w:val="00A37C4A"/>
    <w:rsid w:val="00A40BF6"/>
    <w:rsid w:val="00A40C03"/>
    <w:rsid w:val="00A4141E"/>
    <w:rsid w:val="00A418A8"/>
    <w:rsid w:val="00A42214"/>
    <w:rsid w:val="00A426D3"/>
    <w:rsid w:val="00A42959"/>
    <w:rsid w:val="00A42FA4"/>
    <w:rsid w:val="00A4323F"/>
    <w:rsid w:val="00A45075"/>
    <w:rsid w:val="00A457B1"/>
    <w:rsid w:val="00A45A1B"/>
    <w:rsid w:val="00A46640"/>
    <w:rsid w:val="00A468F8"/>
    <w:rsid w:val="00A47F67"/>
    <w:rsid w:val="00A50302"/>
    <w:rsid w:val="00A50DBD"/>
    <w:rsid w:val="00A51017"/>
    <w:rsid w:val="00A5144D"/>
    <w:rsid w:val="00A52221"/>
    <w:rsid w:val="00A52611"/>
    <w:rsid w:val="00A533FB"/>
    <w:rsid w:val="00A5378B"/>
    <w:rsid w:val="00A54DD1"/>
    <w:rsid w:val="00A55278"/>
    <w:rsid w:val="00A555F0"/>
    <w:rsid w:val="00A55A4C"/>
    <w:rsid w:val="00A567BA"/>
    <w:rsid w:val="00A5694C"/>
    <w:rsid w:val="00A569D2"/>
    <w:rsid w:val="00A57975"/>
    <w:rsid w:val="00A57CDB"/>
    <w:rsid w:val="00A57F68"/>
    <w:rsid w:val="00A61204"/>
    <w:rsid w:val="00A618F1"/>
    <w:rsid w:val="00A61903"/>
    <w:rsid w:val="00A61F24"/>
    <w:rsid w:val="00A644C0"/>
    <w:rsid w:val="00A64B4D"/>
    <w:rsid w:val="00A650F6"/>
    <w:rsid w:val="00A65A5F"/>
    <w:rsid w:val="00A669E8"/>
    <w:rsid w:val="00A66CB4"/>
    <w:rsid w:val="00A66E27"/>
    <w:rsid w:val="00A67853"/>
    <w:rsid w:val="00A67BC8"/>
    <w:rsid w:val="00A7044D"/>
    <w:rsid w:val="00A70A2C"/>
    <w:rsid w:val="00A72180"/>
    <w:rsid w:val="00A72508"/>
    <w:rsid w:val="00A743E8"/>
    <w:rsid w:val="00A74572"/>
    <w:rsid w:val="00A75E0E"/>
    <w:rsid w:val="00A77B8B"/>
    <w:rsid w:val="00A77D35"/>
    <w:rsid w:val="00A80333"/>
    <w:rsid w:val="00A80E2F"/>
    <w:rsid w:val="00A81175"/>
    <w:rsid w:val="00A812DB"/>
    <w:rsid w:val="00A81EDF"/>
    <w:rsid w:val="00A826C8"/>
    <w:rsid w:val="00A8348E"/>
    <w:rsid w:val="00A83C73"/>
    <w:rsid w:val="00A83FD4"/>
    <w:rsid w:val="00A845C7"/>
    <w:rsid w:val="00A84F0A"/>
    <w:rsid w:val="00A85CCB"/>
    <w:rsid w:val="00A85E2E"/>
    <w:rsid w:val="00A86D5A"/>
    <w:rsid w:val="00A86D85"/>
    <w:rsid w:val="00A87BE6"/>
    <w:rsid w:val="00A9042E"/>
    <w:rsid w:val="00A92274"/>
    <w:rsid w:val="00A9234F"/>
    <w:rsid w:val="00A93982"/>
    <w:rsid w:val="00A93CF7"/>
    <w:rsid w:val="00A9435B"/>
    <w:rsid w:val="00A956B9"/>
    <w:rsid w:val="00A95AD0"/>
    <w:rsid w:val="00A95E1D"/>
    <w:rsid w:val="00A96ECD"/>
    <w:rsid w:val="00A97160"/>
    <w:rsid w:val="00A97747"/>
    <w:rsid w:val="00A97B17"/>
    <w:rsid w:val="00A97F3C"/>
    <w:rsid w:val="00AA0C78"/>
    <w:rsid w:val="00AA1924"/>
    <w:rsid w:val="00AA19DB"/>
    <w:rsid w:val="00AA1A0C"/>
    <w:rsid w:val="00AA1F47"/>
    <w:rsid w:val="00AA211C"/>
    <w:rsid w:val="00AA2594"/>
    <w:rsid w:val="00AA2F39"/>
    <w:rsid w:val="00AA2F82"/>
    <w:rsid w:val="00AA3B1C"/>
    <w:rsid w:val="00AA3F0F"/>
    <w:rsid w:val="00AA410B"/>
    <w:rsid w:val="00AA4D14"/>
    <w:rsid w:val="00AA55A8"/>
    <w:rsid w:val="00AA5956"/>
    <w:rsid w:val="00AA66E4"/>
    <w:rsid w:val="00AA7BCF"/>
    <w:rsid w:val="00AA7BF9"/>
    <w:rsid w:val="00AB09E8"/>
    <w:rsid w:val="00AB09ED"/>
    <w:rsid w:val="00AB0C9D"/>
    <w:rsid w:val="00AB0E6C"/>
    <w:rsid w:val="00AB1706"/>
    <w:rsid w:val="00AB1E53"/>
    <w:rsid w:val="00AB1F56"/>
    <w:rsid w:val="00AB2750"/>
    <w:rsid w:val="00AB47D3"/>
    <w:rsid w:val="00AB4D23"/>
    <w:rsid w:val="00AB56DF"/>
    <w:rsid w:val="00AB5894"/>
    <w:rsid w:val="00AB6268"/>
    <w:rsid w:val="00AB63CB"/>
    <w:rsid w:val="00AB64BF"/>
    <w:rsid w:val="00AB6865"/>
    <w:rsid w:val="00AB747F"/>
    <w:rsid w:val="00AB7904"/>
    <w:rsid w:val="00AB7BEE"/>
    <w:rsid w:val="00AC0134"/>
    <w:rsid w:val="00AC31C5"/>
    <w:rsid w:val="00AC4487"/>
    <w:rsid w:val="00AC543A"/>
    <w:rsid w:val="00AC68CC"/>
    <w:rsid w:val="00AC7AF5"/>
    <w:rsid w:val="00AC7BC0"/>
    <w:rsid w:val="00AD062B"/>
    <w:rsid w:val="00AD098D"/>
    <w:rsid w:val="00AD1570"/>
    <w:rsid w:val="00AD1915"/>
    <w:rsid w:val="00AD1C9E"/>
    <w:rsid w:val="00AD2D04"/>
    <w:rsid w:val="00AD3419"/>
    <w:rsid w:val="00AD3D9C"/>
    <w:rsid w:val="00AD4E5C"/>
    <w:rsid w:val="00AD6388"/>
    <w:rsid w:val="00AD683B"/>
    <w:rsid w:val="00AD6857"/>
    <w:rsid w:val="00AD6885"/>
    <w:rsid w:val="00AD6909"/>
    <w:rsid w:val="00AD6998"/>
    <w:rsid w:val="00AD7816"/>
    <w:rsid w:val="00AD78C5"/>
    <w:rsid w:val="00AD7F40"/>
    <w:rsid w:val="00AE0099"/>
    <w:rsid w:val="00AE04FF"/>
    <w:rsid w:val="00AE0910"/>
    <w:rsid w:val="00AE183F"/>
    <w:rsid w:val="00AE1A71"/>
    <w:rsid w:val="00AE1AD9"/>
    <w:rsid w:val="00AE1B9A"/>
    <w:rsid w:val="00AE1D8E"/>
    <w:rsid w:val="00AE2035"/>
    <w:rsid w:val="00AE2062"/>
    <w:rsid w:val="00AE2AF7"/>
    <w:rsid w:val="00AE3446"/>
    <w:rsid w:val="00AE365F"/>
    <w:rsid w:val="00AE3AC3"/>
    <w:rsid w:val="00AE3C41"/>
    <w:rsid w:val="00AE3C83"/>
    <w:rsid w:val="00AE3CC7"/>
    <w:rsid w:val="00AE3FD3"/>
    <w:rsid w:val="00AE55A8"/>
    <w:rsid w:val="00AE6883"/>
    <w:rsid w:val="00AE7E47"/>
    <w:rsid w:val="00AF07A8"/>
    <w:rsid w:val="00AF0D01"/>
    <w:rsid w:val="00AF21B9"/>
    <w:rsid w:val="00AF2926"/>
    <w:rsid w:val="00AF2DE2"/>
    <w:rsid w:val="00AF3418"/>
    <w:rsid w:val="00AF354D"/>
    <w:rsid w:val="00AF39F3"/>
    <w:rsid w:val="00AF3DBC"/>
    <w:rsid w:val="00AF3FDF"/>
    <w:rsid w:val="00AF4DDE"/>
    <w:rsid w:val="00AF5150"/>
    <w:rsid w:val="00AF62D5"/>
    <w:rsid w:val="00AF74B2"/>
    <w:rsid w:val="00B0109B"/>
    <w:rsid w:val="00B019FC"/>
    <w:rsid w:val="00B01BE7"/>
    <w:rsid w:val="00B025C9"/>
    <w:rsid w:val="00B0261E"/>
    <w:rsid w:val="00B027B5"/>
    <w:rsid w:val="00B036FC"/>
    <w:rsid w:val="00B03C08"/>
    <w:rsid w:val="00B03C34"/>
    <w:rsid w:val="00B03D3A"/>
    <w:rsid w:val="00B046F2"/>
    <w:rsid w:val="00B04F96"/>
    <w:rsid w:val="00B061B7"/>
    <w:rsid w:val="00B062DC"/>
    <w:rsid w:val="00B0645E"/>
    <w:rsid w:val="00B10A2B"/>
    <w:rsid w:val="00B10E10"/>
    <w:rsid w:val="00B112EB"/>
    <w:rsid w:val="00B11350"/>
    <w:rsid w:val="00B11452"/>
    <w:rsid w:val="00B11B84"/>
    <w:rsid w:val="00B1286A"/>
    <w:rsid w:val="00B130AC"/>
    <w:rsid w:val="00B130F6"/>
    <w:rsid w:val="00B13F9D"/>
    <w:rsid w:val="00B1499B"/>
    <w:rsid w:val="00B150FA"/>
    <w:rsid w:val="00B161CE"/>
    <w:rsid w:val="00B16F45"/>
    <w:rsid w:val="00B1773E"/>
    <w:rsid w:val="00B17A98"/>
    <w:rsid w:val="00B17CE3"/>
    <w:rsid w:val="00B17F99"/>
    <w:rsid w:val="00B206B1"/>
    <w:rsid w:val="00B21906"/>
    <w:rsid w:val="00B2397C"/>
    <w:rsid w:val="00B23C71"/>
    <w:rsid w:val="00B24843"/>
    <w:rsid w:val="00B25319"/>
    <w:rsid w:val="00B2617F"/>
    <w:rsid w:val="00B26564"/>
    <w:rsid w:val="00B272E4"/>
    <w:rsid w:val="00B27783"/>
    <w:rsid w:val="00B278FF"/>
    <w:rsid w:val="00B27A9E"/>
    <w:rsid w:val="00B30D15"/>
    <w:rsid w:val="00B31913"/>
    <w:rsid w:val="00B31CD1"/>
    <w:rsid w:val="00B31FC4"/>
    <w:rsid w:val="00B320D3"/>
    <w:rsid w:val="00B3274D"/>
    <w:rsid w:val="00B337E7"/>
    <w:rsid w:val="00B33ADF"/>
    <w:rsid w:val="00B3524A"/>
    <w:rsid w:val="00B352E8"/>
    <w:rsid w:val="00B35FFC"/>
    <w:rsid w:val="00B36991"/>
    <w:rsid w:val="00B36D1E"/>
    <w:rsid w:val="00B4004E"/>
    <w:rsid w:val="00B40DA2"/>
    <w:rsid w:val="00B4166F"/>
    <w:rsid w:val="00B41ADA"/>
    <w:rsid w:val="00B42565"/>
    <w:rsid w:val="00B425C1"/>
    <w:rsid w:val="00B435CE"/>
    <w:rsid w:val="00B435E8"/>
    <w:rsid w:val="00B43A7B"/>
    <w:rsid w:val="00B45291"/>
    <w:rsid w:val="00B458D8"/>
    <w:rsid w:val="00B464C6"/>
    <w:rsid w:val="00B47CA7"/>
    <w:rsid w:val="00B47E25"/>
    <w:rsid w:val="00B5054B"/>
    <w:rsid w:val="00B5080E"/>
    <w:rsid w:val="00B50920"/>
    <w:rsid w:val="00B509A9"/>
    <w:rsid w:val="00B50D9E"/>
    <w:rsid w:val="00B50F5E"/>
    <w:rsid w:val="00B52AFB"/>
    <w:rsid w:val="00B52BDE"/>
    <w:rsid w:val="00B535F7"/>
    <w:rsid w:val="00B53DB6"/>
    <w:rsid w:val="00B53EB7"/>
    <w:rsid w:val="00B55F61"/>
    <w:rsid w:val="00B562DF"/>
    <w:rsid w:val="00B56E5C"/>
    <w:rsid w:val="00B57A55"/>
    <w:rsid w:val="00B605C0"/>
    <w:rsid w:val="00B6105C"/>
    <w:rsid w:val="00B614ED"/>
    <w:rsid w:val="00B6314A"/>
    <w:rsid w:val="00B634A0"/>
    <w:rsid w:val="00B63866"/>
    <w:rsid w:val="00B6417A"/>
    <w:rsid w:val="00B64BDC"/>
    <w:rsid w:val="00B64C04"/>
    <w:rsid w:val="00B65B34"/>
    <w:rsid w:val="00B65E6C"/>
    <w:rsid w:val="00B65F2C"/>
    <w:rsid w:val="00B65F68"/>
    <w:rsid w:val="00B66C7A"/>
    <w:rsid w:val="00B67AB7"/>
    <w:rsid w:val="00B71081"/>
    <w:rsid w:val="00B710FA"/>
    <w:rsid w:val="00B7160E"/>
    <w:rsid w:val="00B7213D"/>
    <w:rsid w:val="00B730CB"/>
    <w:rsid w:val="00B73329"/>
    <w:rsid w:val="00B73528"/>
    <w:rsid w:val="00B73B5D"/>
    <w:rsid w:val="00B73E05"/>
    <w:rsid w:val="00B76576"/>
    <w:rsid w:val="00B765F7"/>
    <w:rsid w:val="00B77D25"/>
    <w:rsid w:val="00B77DEF"/>
    <w:rsid w:val="00B80085"/>
    <w:rsid w:val="00B8008A"/>
    <w:rsid w:val="00B8073C"/>
    <w:rsid w:val="00B807B6"/>
    <w:rsid w:val="00B8093D"/>
    <w:rsid w:val="00B80AB5"/>
    <w:rsid w:val="00B80DF3"/>
    <w:rsid w:val="00B80FEF"/>
    <w:rsid w:val="00B811CE"/>
    <w:rsid w:val="00B818DE"/>
    <w:rsid w:val="00B82AD8"/>
    <w:rsid w:val="00B8310B"/>
    <w:rsid w:val="00B83564"/>
    <w:rsid w:val="00B837A7"/>
    <w:rsid w:val="00B84080"/>
    <w:rsid w:val="00B8643A"/>
    <w:rsid w:val="00B867EF"/>
    <w:rsid w:val="00B86F6B"/>
    <w:rsid w:val="00B872F6"/>
    <w:rsid w:val="00B876C9"/>
    <w:rsid w:val="00B87774"/>
    <w:rsid w:val="00B87A43"/>
    <w:rsid w:val="00B9221A"/>
    <w:rsid w:val="00B92CEE"/>
    <w:rsid w:val="00B930E4"/>
    <w:rsid w:val="00B9325C"/>
    <w:rsid w:val="00B93F57"/>
    <w:rsid w:val="00B94936"/>
    <w:rsid w:val="00B94D3D"/>
    <w:rsid w:val="00B95EFB"/>
    <w:rsid w:val="00B96289"/>
    <w:rsid w:val="00B9715E"/>
    <w:rsid w:val="00B97276"/>
    <w:rsid w:val="00BA0D13"/>
    <w:rsid w:val="00BA1214"/>
    <w:rsid w:val="00BA148A"/>
    <w:rsid w:val="00BA2156"/>
    <w:rsid w:val="00BA491C"/>
    <w:rsid w:val="00BA4BED"/>
    <w:rsid w:val="00BA4ED5"/>
    <w:rsid w:val="00BA5086"/>
    <w:rsid w:val="00BA5592"/>
    <w:rsid w:val="00BA5BAB"/>
    <w:rsid w:val="00BA5FC2"/>
    <w:rsid w:val="00BA66B9"/>
    <w:rsid w:val="00BA6DDA"/>
    <w:rsid w:val="00BA7D39"/>
    <w:rsid w:val="00BB010F"/>
    <w:rsid w:val="00BB0221"/>
    <w:rsid w:val="00BB0634"/>
    <w:rsid w:val="00BB0A68"/>
    <w:rsid w:val="00BB0CD5"/>
    <w:rsid w:val="00BB15D8"/>
    <w:rsid w:val="00BB17DE"/>
    <w:rsid w:val="00BB20D0"/>
    <w:rsid w:val="00BB2441"/>
    <w:rsid w:val="00BB276E"/>
    <w:rsid w:val="00BB287E"/>
    <w:rsid w:val="00BB2C40"/>
    <w:rsid w:val="00BB4F39"/>
    <w:rsid w:val="00BB5915"/>
    <w:rsid w:val="00BB5FC5"/>
    <w:rsid w:val="00BB6013"/>
    <w:rsid w:val="00BB6042"/>
    <w:rsid w:val="00BB612C"/>
    <w:rsid w:val="00BB6686"/>
    <w:rsid w:val="00BB6B2B"/>
    <w:rsid w:val="00BB6E95"/>
    <w:rsid w:val="00BB71A7"/>
    <w:rsid w:val="00BC0729"/>
    <w:rsid w:val="00BC1D3F"/>
    <w:rsid w:val="00BC227C"/>
    <w:rsid w:val="00BC2ACE"/>
    <w:rsid w:val="00BC2C92"/>
    <w:rsid w:val="00BC2DDD"/>
    <w:rsid w:val="00BC3096"/>
    <w:rsid w:val="00BC3B41"/>
    <w:rsid w:val="00BC3B50"/>
    <w:rsid w:val="00BC3C6F"/>
    <w:rsid w:val="00BC3CC7"/>
    <w:rsid w:val="00BC3E1F"/>
    <w:rsid w:val="00BC44E3"/>
    <w:rsid w:val="00BC4B8B"/>
    <w:rsid w:val="00BC4BAA"/>
    <w:rsid w:val="00BC4CAC"/>
    <w:rsid w:val="00BC4E43"/>
    <w:rsid w:val="00BC4F44"/>
    <w:rsid w:val="00BC6205"/>
    <w:rsid w:val="00BC66B1"/>
    <w:rsid w:val="00BC69E8"/>
    <w:rsid w:val="00BC6BEC"/>
    <w:rsid w:val="00BC6C8A"/>
    <w:rsid w:val="00BC7CC2"/>
    <w:rsid w:val="00BC7F38"/>
    <w:rsid w:val="00BD0467"/>
    <w:rsid w:val="00BD0A6F"/>
    <w:rsid w:val="00BD0F8F"/>
    <w:rsid w:val="00BD1812"/>
    <w:rsid w:val="00BD1852"/>
    <w:rsid w:val="00BD19E4"/>
    <w:rsid w:val="00BD1DBC"/>
    <w:rsid w:val="00BD2EC8"/>
    <w:rsid w:val="00BD3DB7"/>
    <w:rsid w:val="00BD42AC"/>
    <w:rsid w:val="00BD45C3"/>
    <w:rsid w:val="00BD4834"/>
    <w:rsid w:val="00BD4D6F"/>
    <w:rsid w:val="00BD52C5"/>
    <w:rsid w:val="00BD556F"/>
    <w:rsid w:val="00BD5698"/>
    <w:rsid w:val="00BD5766"/>
    <w:rsid w:val="00BD5954"/>
    <w:rsid w:val="00BD5C12"/>
    <w:rsid w:val="00BD6014"/>
    <w:rsid w:val="00BD631C"/>
    <w:rsid w:val="00BE0181"/>
    <w:rsid w:val="00BE0887"/>
    <w:rsid w:val="00BE261B"/>
    <w:rsid w:val="00BE2C50"/>
    <w:rsid w:val="00BE2D52"/>
    <w:rsid w:val="00BE2F1B"/>
    <w:rsid w:val="00BE3302"/>
    <w:rsid w:val="00BE36D6"/>
    <w:rsid w:val="00BE38A6"/>
    <w:rsid w:val="00BE3A14"/>
    <w:rsid w:val="00BE40E7"/>
    <w:rsid w:val="00BE5C5C"/>
    <w:rsid w:val="00BE6041"/>
    <w:rsid w:val="00BE6F26"/>
    <w:rsid w:val="00BE7F24"/>
    <w:rsid w:val="00BF076F"/>
    <w:rsid w:val="00BF0E7D"/>
    <w:rsid w:val="00BF1505"/>
    <w:rsid w:val="00BF1B31"/>
    <w:rsid w:val="00BF2A2E"/>
    <w:rsid w:val="00BF318B"/>
    <w:rsid w:val="00BF31E9"/>
    <w:rsid w:val="00BF3CE3"/>
    <w:rsid w:val="00BF405D"/>
    <w:rsid w:val="00BF419B"/>
    <w:rsid w:val="00BF44F2"/>
    <w:rsid w:val="00BF4990"/>
    <w:rsid w:val="00BF5741"/>
    <w:rsid w:val="00BF5B66"/>
    <w:rsid w:val="00BF6163"/>
    <w:rsid w:val="00BF6EC9"/>
    <w:rsid w:val="00BF71AC"/>
    <w:rsid w:val="00C00730"/>
    <w:rsid w:val="00C00DBD"/>
    <w:rsid w:val="00C00E8C"/>
    <w:rsid w:val="00C00EAF"/>
    <w:rsid w:val="00C01538"/>
    <w:rsid w:val="00C01B32"/>
    <w:rsid w:val="00C02190"/>
    <w:rsid w:val="00C0252A"/>
    <w:rsid w:val="00C02A47"/>
    <w:rsid w:val="00C03623"/>
    <w:rsid w:val="00C0362A"/>
    <w:rsid w:val="00C03682"/>
    <w:rsid w:val="00C03D30"/>
    <w:rsid w:val="00C04AC8"/>
    <w:rsid w:val="00C054BC"/>
    <w:rsid w:val="00C0561B"/>
    <w:rsid w:val="00C05E8A"/>
    <w:rsid w:val="00C06248"/>
    <w:rsid w:val="00C0639A"/>
    <w:rsid w:val="00C06D25"/>
    <w:rsid w:val="00C06FD9"/>
    <w:rsid w:val="00C07CAB"/>
    <w:rsid w:val="00C07F99"/>
    <w:rsid w:val="00C101D4"/>
    <w:rsid w:val="00C108BF"/>
    <w:rsid w:val="00C11455"/>
    <w:rsid w:val="00C117E9"/>
    <w:rsid w:val="00C1201F"/>
    <w:rsid w:val="00C120C5"/>
    <w:rsid w:val="00C127C0"/>
    <w:rsid w:val="00C12857"/>
    <w:rsid w:val="00C13659"/>
    <w:rsid w:val="00C13CFE"/>
    <w:rsid w:val="00C14C40"/>
    <w:rsid w:val="00C15861"/>
    <w:rsid w:val="00C15D3B"/>
    <w:rsid w:val="00C15F45"/>
    <w:rsid w:val="00C16A0A"/>
    <w:rsid w:val="00C16A58"/>
    <w:rsid w:val="00C16B23"/>
    <w:rsid w:val="00C16DC3"/>
    <w:rsid w:val="00C17767"/>
    <w:rsid w:val="00C17B0E"/>
    <w:rsid w:val="00C17E36"/>
    <w:rsid w:val="00C209A5"/>
    <w:rsid w:val="00C20A88"/>
    <w:rsid w:val="00C20FF6"/>
    <w:rsid w:val="00C21CF8"/>
    <w:rsid w:val="00C23717"/>
    <w:rsid w:val="00C23E2A"/>
    <w:rsid w:val="00C2429E"/>
    <w:rsid w:val="00C24793"/>
    <w:rsid w:val="00C24A36"/>
    <w:rsid w:val="00C25070"/>
    <w:rsid w:val="00C252EC"/>
    <w:rsid w:val="00C2546B"/>
    <w:rsid w:val="00C255A8"/>
    <w:rsid w:val="00C261C5"/>
    <w:rsid w:val="00C2632C"/>
    <w:rsid w:val="00C26A9B"/>
    <w:rsid w:val="00C30C2C"/>
    <w:rsid w:val="00C3103F"/>
    <w:rsid w:val="00C31D86"/>
    <w:rsid w:val="00C32017"/>
    <w:rsid w:val="00C32BCF"/>
    <w:rsid w:val="00C32ECB"/>
    <w:rsid w:val="00C33289"/>
    <w:rsid w:val="00C33EA0"/>
    <w:rsid w:val="00C33F1D"/>
    <w:rsid w:val="00C33FAE"/>
    <w:rsid w:val="00C34357"/>
    <w:rsid w:val="00C345E0"/>
    <w:rsid w:val="00C34A71"/>
    <w:rsid w:val="00C34F4F"/>
    <w:rsid w:val="00C35795"/>
    <w:rsid w:val="00C35927"/>
    <w:rsid w:val="00C35A01"/>
    <w:rsid w:val="00C35B63"/>
    <w:rsid w:val="00C37394"/>
    <w:rsid w:val="00C37598"/>
    <w:rsid w:val="00C37B8C"/>
    <w:rsid w:val="00C37BA5"/>
    <w:rsid w:val="00C4052A"/>
    <w:rsid w:val="00C410AE"/>
    <w:rsid w:val="00C41667"/>
    <w:rsid w:val="00C417B6"/>
    <w:rsid w:val="00C41B1E"/>
    <w:rsid w:val="00C41DD3"/>
    <w:rsid w:val="00C42289"/>
    <w:rsid w:val="00C42417"/>
    <w:rsid w:val="00C42C5B"/>
    <w:rsid w:val="00C44443"/>
    <w:rsid w:val="00C44CCE"/>
    <w:rsid w:val="00C456C3"/>
    <w:rsid w:val="00C46C25"/>
    <w:rsid w:val="00C4742F"/>
    <w:rsid w:val="00C47997"/>
    <w:rsid w:val="00C47B97"/>
    <w:rsid w:val="00C504C4"/>
    <w:rsid w:val="00C52385"/>
    <w:rsid w:val="00C525B8"/>
    <w:rsid w:val="00C52866"/>
    <w:rsid w:val="00C52BD3"/>
    <w:rsid w:val="00C5342C"/>
    <w:rsid w:val="00C53D6A"/>
    <w:rsid w:val="00C53DC8"/>
    <w:rsid w:val="00C56192"/>
    <w:rsid w:val="00C56393"/>
    <w:rsid w:val="00C5683E"/>
    <w:rsid w:val="00C56D34"/>
    <w:rsid w:val="00C56F25"/>
    <w:rsid w:val="00C56F3D"/>
    <w:rsid w:val="00C573F0"/>
    <w:rsid w:val="00C574EC"/>
    <w:rsid w:val="00C57FF0"/>
    <w:rsid w:val="00C60235"/>
    <w:rsid w:val="00C60B65"/>
    <w:rsid w:val="00C60E5F"/>
    <w:rsid w:val="00C60F7A"/>
    <w:rsid w:val="00C61057"/>
    <w:rsid w:val="00C6127D"/>
    <w:rsid w:val="00C61955"/>
    <w:rsid w:val="00C628BD"/>
    <w:rsid w:val="00C62928"/>
    <w:rsid w:val="00C62AF9"/>
    <w:rsid w:val="00C62D6C"/>
    <w:rsid w:val="00C63BA8"/>
    <w:rsid w:val="00C63BE9"/>
    <w:rsid w:val="00C64D73"/>
    <w:rsid w:val="00C65BE7"/>
    <w:rsid w:val="00C65D62"/>
    <w:rsid w:val="00C65F41"/>
    <w:rsid w:val="00C6638E"/>
    <w:rsid w:val="00C664D2"/>
    <w:rsid w:val="00C6665E"/>
    <w:rsid w:val="00C66773"/>
    <w:rsid w:val="00C669AB"/>
    <w:rsid w:val="00C66F68"/>
    <w:rsid w:val="00C67099"/>
    <w:rsid w:val="00C672CD"/>
    <w:rsid w:val="00C70B18"/>
    <w:rsid w:val="00C70BE6"/>
    <w:rsid w:val="00C70BF2"/>
    <w:rsid w:val="00C71A49"/>
    <w:rsid w:val="00C726E7"/>
    <w:rsid w:val="00C7297D"/>
    <w:rsid w:val="00C744C4"/>
    <w:rsid w:val="00C74661"/>
    <w:rsid w:val="00C7571D"/>
    <w:rsid w:val="00C7671B"/>
    <w:rsid w:val="00C76E82"/>
    <w:rsid w:val="00C77150"/>
    <w:rsid w:val="00C77F6C"/>
    <w:rsid w:val="00C80084"/>
    <w:rsid w:val="00C804CE"/>
    <w:rsid w:val="00C80640"/>
    <w:rsid w:val="00C80806"/>
    <w:rsid w:val="00C80BBA"/>
    <w:rsid w:val="00C80C2B"/>
    <w:rsid w:val="00C8133A"/>
    <w:rsid w:val="00C8138B"/>
    <w:rsid w:val="00C81AAF"/>
    <w:rsid w:val="00C81ED6"/>
    <w:rsid w:val="00C82678"/>
    <w:rsid w:val="00C82722"/>
    <w:rsid w:val="00C82E38"/>
    <w:rsid w:val="00C83E66"/>
    <w:rsid w:val="00C840A3"/>
    <w:rsid w:val="00C84994"/>
    <w:rsid w:val="00C86246"/>
    <w:rsid w:val="00C86489"/>
    <w:rsid w:val="00C906C8"/>
    <w:rsid w:val="00C90A85"/>
    <w:rsid w:val="00C91257"/>
    <w:rsid w:val="00C91E07"/>
    <w:rsid w:val="00C92477"/>
    <w:rsid w:val="00C93124"/>
    <w:rsid w:val="00C93B47"/>
    <w:rsid w:val="00C93D28"/>
    <w:rsid w:val="00C9482B"/>
    <w:rsid w:val="00C961EC"/>
    <w:rsid w:val="00C96444"/>
    <w:rsid w:val="00CA0FEA"/>
    <w:rsid w:val="00CA1168"/>
    <w:rsid w:val="00CA188F"/>
    <w:rsid w:val="00CA1D1A"/>
    <w:rsid w:val="00CA284C"/>
    <w:rsid w:val="00CA30EB"/>
    <w:rsid w:val="00CA3FBC"/>
    <w:rsid w:val="00CA48FB"/>
    <w:rsid w:val="00CA4AAE"/>
    <w:rsid w:val="00CA4DE1"/>
    <w:rsid w:val="00CA529F"/>
    <w:rsid w:val="00CA537A"/>
    <w:rsid w:val="00CA59C1"/>
    <w:rsid w:val="00CA5FA9"/>
    <w:rsid w:val="00CA63FD"/>
    <w:rsid w:val="00CA6E66"/>
    <w:rsid w:val="00CA71FC"/>
    <w:rsid w:val="00CB01C1"/>
    <w:rsid w:val="00CB10FC"/>
    <w:rsid w:val="00CB2952"/>
    <w:rsid w:val="00CB4153"/>
    <w:rsid w:val="00CB4A2F"/>
    <w:rsid w:val="00CB4D4A"/>
    <w:rsid w:val="00CB4E59"/>
    <w:rsid w:val="00CB57F1"/>
    <w:rsid w:val="00CB60F5"/>
    <w:rsid w:val="00CB6992"/>
    <w:rsid w:val="00CB7376"/>
    <w:rsid w:val="00CB7909"/>
    <w:rsid w:val="00CC0A03"/>
    <w:rsid w:val="00CC19A6"/>
    <w:rsid w:val="00CC242B"/>
    <w:rsid w:val="00CC29A0"/>
    <w:rsid w:val="00CC2F68"/>
    <w:rsid w:val="00CC346E"/>
    <w:rsid w:val="00CC37AD"/>
    <w:rsid w:val="00CC3EEF"/>
    <w:rsid w:val="00CC43A4"/>
    <w:rsid w:val="00CC6781"/>
    <w:rsid w:val="00CC6EF2"/>
    <w:rsid w:val="00CC70F3"/>
    <w:rsid w:val="00CC76A5"/>
    <w:rsid w:val="00CC76EA"/>
    <w:rsid w:val="00CD02B7"/>
    <w:rsid w:val="00CD0C4D"/>
    <w:rsid w:val="00CD1880"/>
    <w:rsid w:val="00CD22D5"/>
    <w:rsid w:val="00CD23BC"/>
    <w:rsid w:val="00CD27BF"/>
    <w:rsid w:val="00CD38BC"/>
    <w:rsid w:val="00CD3A9E"/>
    <w:rsid w:val="00CD3C0C"/>
    <w:rsid w:val="00CD3F08"/>
    <w:rsid w:val="00CD4520"/>
    <w:rsid w:val="00CD4B34"/>
    <w:rsid w:val="00CD5058"/>
    <w:rsid w:val="00CD561D"/>
    <w:rsid w:val="00CD56B5"/>
    <w:rsid w:val="00CD5EE2"/>
    <w:rsid w:val="00CD6000"/>
    <w:rsid w:val="00CD62C2"/>
    <w:rsid w:val="00CD62E1"/>
    <w:rsid w:val="00CD6C1E"/>
    <w:rsid w:val="00CD6C40"/>
    <w:rsid w:val="00CD7859"/>
    <w:rsid w:val="00CE1470"/>
    <w:rsid w:val="00CE1616"/>
    <w:rsid w:val="00CE1868"/>
    <w:rsid w:val="00CE1AE0"/>
    <w:rsid w:val="00CE36BA"/>
    <w:rsid w:val="00CE37D2"/>
    <w:rsid w:val="00CE4DDF"/>
    <w:rsid w:val="00CE51A3"/>
    <w:rsid w:val="00CE51B1"/>
    <w:rsid w:val="00CE5633"/>
    <w:rsid w:val="00CE58D8"/>
    <w:rsid w:val="00CE5BD4"/>
    <w:rsid w:val="00CE6B80"/>
    <w:rsid w:val="00CE6BFD"/>
    <w:rsid w:val="00CE6DEA"/>
    <w:rsid w:val="00CF0225"/>
    <w:rsid w:val="00CF0A06"/>
    <w:rsid w:val="00CF21AA"/>
    <w:rsid w:val="00CF2425"/>
    <w:rsid w:val="00CF258E"/>
    <w:rsid w:val="00CF297C"/>
    <w:rsid w:val="00CF2AB4"/>
    <w:rsid w:val="00CF3BB5"/>
    <w:rsid w:val="00CF48D2"/>
    <w:rsid w:val="00CF4A30"/>
    <w:rsid w:val="00CF4ADC"/>
    <w:rsid w:val="00CF5542"/>
    <w:rsid w:val="00CF5AE2"/>
    <w:rsid w:val="00CF60C2"/>
    <w:rsid w:val="00CF66F1"/>
    <w:rsid w:val="00CF6920"/>
    <w:rsid w:val="00CF776E"/>
    <w:rsid w:val="00CF79CC"/>
    <w:rsid w:val="00CF7E48"/>
    <w:rsid w:val="00D002C5"/>
    <w:rsid w:val="00D00B23"/>
    <w:rsid w:val="00D00E94"/>
    <w:rsid w:val="00D016F5"/>
    <w:rsid w:val="00D02931"/>
    <w:rsid w:val="00D043D3"/>
    <w:rsid w:val="00D04BEA"/>
    <w:rsid w:val="00D05438"/>
    <w:rsid w:val="00D0592F"/>
    <w:rsid w:val="00D06427"/>
    <w:rsid w:val="00D0656B"/>
    <w:rsid w:val="00D06A1B"/>
    <w:rsid w:val="00D06D3D"/>
    <w:rsid w:val="00D07170"/>
    <w:rsid w:val="00D074F3"/>
    <w:rsid w:val="00D07753"/>
    <w:rsid w:val="00D07A20"/>
    <w:rsid w:val="00D07B58"/>
    <w:rsid w:val="00D108F7"/>
    <w:rsid w:val="00D10C1F"/>
    <w:rsid w:val="00D11728"/>
    <w:rsid w:val="00D117B8"/>
    <w:rsid w:val="00D11E81"/>
    <w:rsid w:val="00D1298A"/>
    <w:rsid w:val="00D130D2"/>
    <w:rsid w:val="00D13767"/>
    <w:rsid w:val="00D138EB"/>
    <w:rsid w:val="00D139B2"/>
    <w:rsid w:val="00D13D76"/>
    <w:rsid w:val="00D1492C"/>
    <w:rsid w:val="00D14B24"/>
    <w:rsid w:val="00D15554"/>
    <w:rsid w:val="00D17722"/>
    <w:rsid w:val="00D178E5"/>
    <w:rsid w:val="00D2018F"/>
    <w:rsid w:val="00D202B9"/>
    <w:rsid w:val="00D208F3"/>
    <w:rsid w:val="00D21458"/>
    <w:rsid w:val="00D2189C"/>
    <w:rsid w:val="00D224F1"/>
    <w:rsid w:val="00D2272A"/>
    <w:rsid w:val="00D228CD"/>
    <w:rsid w:val="00D22A36"/>
    <w:rsid w:val="00D24240"/>
    <w:rsid w:val="00D24453"/>
    <w:rsid w:val="00D25A8F"/>
    <w:rsid w:val="00D2604A"/>
    <w:rsid w:val="00D271B0"/>
    <w:rsid w:val="00D27375"/>
    <w:rsid w:val="00D27655"/>
    <w:rsid w:val="00D27DFC"/>
    <w:rsid w:val="00D300E8"/>
    <w:rsid w:val="00D30874"/>
    <w:rsid w:val="00D30B2D"/>
    <w:rsid w:val="00D30D67"/>
    <w:rsid w:val="00D30E12"/>
    <w:rsid w:val="00D313C8"/>
    <w:rsid w:val="00D3244F"/>
    <w:rsid w:val="00D33077"/>
    <w:rsid w:val="00D33153"/>
    <w:rsid w:val="00D3354E"/>
    <w:rsid w:val="00D346E9"/>
    <w:rsid w:val="00D353F6"/>
    <w:rsid w:val="00D35BA0"/>
    <w:rsid w:val="00D35C54"/>
    <w:rsid w:val="00D35DF9"/>
    <w:rsid w:val="00D36705"/>
    <w:rsid w:val="00D37FB9"/>
    <w:rsid w:val="00D37FCE"/>
    <w:rsid w:val="00D40486"/>
    <w:rsid w:val="00D40722"/>
    <w:rsid w:val="00D4086A"/>
    <w:rsid w:val="00D4090F"/>
    <w:rsid w:val="00D4096B"/>
    <w:rsid w:val="00D40E32"/>
    <w:rsid w:val="00D40FD8"/>
    <w:rsid w:val="00D444A4"/>
    <w:rsid w:val="00D44F1C"/>
    <w:rsid w:val="00D45ACD"/>
    <w:rsid w:val="00D45E6F"/>
    <w:rsid w:val="00D46356"/>
    <w:rsid w:val="00D46D05"/>
    <w:rsid w:val="00D46DD8"/>
    <w:rsid w:val="00D47181"/>
    <w:rsid w:val="00D4781F"/>
    <w:rsid w:val="00D47A2A"/>
    <w:rsid w:val="00D50DA5"/>
    <w:rsid w:val="00D5152C"/>
    <w:rsid w:val="00D525F2"/>
    <w:rsid w:val="00D533DA"/>
    <w:rsid w:val="00D533E0"/>
    <w:rsid w:val="00D5476F"/>
    <w:rsid w:val="00D54D63"/>
    <w:rsid w:val="00D54D77"/>
    <w:rsid w:val="00D54E14"/>
    <w:rsid w:val="00D555D7"/>
    <w:rsid w:val="00D55DB4"/>
    <w:rsid w:val="00D55F5A"/>
    <w:rsid w:val="00D56581"/>
    <w:rsid w:val="00D56C73"/>
    <w:rsid w:val="00D572CC"/>
    <w:rsid w:val="00D612B0"/>
    <w:rsid w:val="00D614C1"/>
    <w:rsid w:val="00D6264F"/>
    <w:rsid w:val="00D62962"/>
    <w:rsid w:val="00D63349"/>
    <w:rsid w:val="00D635A9"/>
    <w:rsid w:val="00D63A61"/>
    <w:rsid w:val="00D65554"/>
    <w:rsid w:val="00D6564C"/>
    <w:rsid w:val="00D6594F"/>
    <w:rsid w:val="00D659B1"/>
    <w:rsid w:val="00D65D18"/>
    <w:rsid w:val="00D6635E"/>
    <w:rsid w:val="00D67799"/>
    <w:rsid w:val="00D678DD"/>
    <w:rsid w:val="00D6791D"/>
    <w:rsid w:val="00D702F9"/>
    <w:rsid w:val="00D70400"/>
    <w:rsid w:val="00D705D0"/>
    <w:rsid w:val="00D70848"/>
    <w:rsid w:val="00D71AC0"/>
    <w:rsid w:val="00D7222D"/>
    <w:rsid w:val="00D724F3"/>
    <w:rsid w:val="00D72BCE"/>
    <w:rsid w:val="00D72D73"/>
    <w:rsid w:val="00D73357"/>
    <w:rsid w:val="00D737B3"/>
    <w:rsid w:val="00D73D86"/>
    <w:rsid w:val="00D73E73"/>
    <w:rsid w:val="00D74DF8"/>
    <w:rsid w:val="00D7573F"/>
    <w:rsid w:val="00D75C5D"/>
    <w:rsid w:val="00D76700"/>
    <w:rsid w:val="00D76D45"/>
    <w:rsid w:val="00D77C3C"/>
    <w:rsid w:val="00D80009"/>
    <w:rsid w:val="00D804B2"/>
    <w:rsid w:val="00D80582"/>
    <w:rsid w:val="00D83875"/>
    <w:rsid w:val="00D838C1"/>
    <w:rsid w:val="00D8408E"/>
    <w:rsid w:val="00D84CA2"/>
    <w:rsid w:val="00D84CB9"/>
    <w:rsid w:val="00D85C64"/>
    <w:rsid w:val="00D85EFF"/>
    <w:rsid w:val="00D85F5A"/>
    <w:rsid w:val="00D867E4"/>
    <w:rsid w:val="00D86922"/>
    <w:rsid w:val="00D8697D"/>
    <w:rsid w:val="00D87089"/>
    <w:rsid w:val="00D90FA6"/>
    <w:rsid w:val="00D91FFF"/>
    <w:rsid w:val="00D9268A"/>
    <w:rsid w:val="00D9276D"/>
    <w:rsid w:val="00D92A99"/>
    <w:rsid w:val="00D9370A"/>
    <w:rsid w:val="00D9530A"/>
    <w:rsid w:val="00D958ED"/>
    <w:rsid w:val="00D95FFC"/>
    <w:rsid w:val="00D962E2"/>
    <w:rsid w:val="00D9649F"/>
    <w:rsid w:val="00D96F75"/>
    <w:rsid w:val="00D9714C"/>
    <w:rsid w:val="00D97EDE"/>
    <w:rsid w:val="00D97F05"/>
    <w:rsid w:val="00DA0C80"/>
    <w:rsid w:val="00DA14E7"/>
    <w:rsid w:val="00DA23F4"/>
    <w:rsid w:val="00DA2CA0"/>
    <w:rsid w:val="00DA34F9"/>
    <w:rsid w:val="00DA35AA"/>
    <w:rsid w:val="00DA38A4"/>
    <w:rsid w:val="00DA3D7A"/>
    <w:rsid w:val="00DA3DD6"/>
    <w:rsid w:val="00DA4318"/>
    <w:rsid w:val="00DA5052"/>
    <w:rsid w:val="00DA517D"/>
    <w:rsid w:val="00DA5893"/>
    <w:rsid w:val="00DA58B0"/>
    <w:rsid w:val="00DA6329"/>
    <w:rsid w:val="00DA6583"/>
    <w:rsid w:val="00DA6CC0"/>
    <w:rsid w:val="00DA7A66"/>
    <w:rsid w:val="00DA7E19"/>
    <w:rsid w:val="00DB0860"/>
    <w:rsid w:val="00DB45EE"/>
    <w:rsid w:val="00DB4F19"/>
    <w:rsid w:val="00DB6D5A"/>
    <w:rsid w:val="00DB6DDA"/>
    <w:rsid w:val="00DB6ED7"/>
    <w:rsid w:val="00DB7E38"/>
    <w:rsid w:val="00DC07C7"/>
    <w:rsid w:val="00DC0F26"/>
    <w:rsid w:val="00DC1D9F"/>
    <w:rsid w:val="00DC2E1C"/>
    <w:rsid w:val="00DC3162"/>
    <w:rsid w:val="00DC4105"/>
    <w:rsid w:val="00DC4575"/>
    <w:rsid w:val="00DC4A3D"/>
    <w:rsid w:val="00DC517A"/>
    <w:rsid w:val="00DC5560"/>
    <w:rsid w:val="00DC5AFF"/>
    <w:rsid w:val="00DC5B4A"/>
    <w:rsid w:val="00DC5D3A"/>
    <w:rsid w:val="00DC5D57"/>
    <w:rsid w:val="00DC5E53"/>
    <w:rsid w:val="00DC78DF"/>
    <w:rsid w:val="00DD151D"/>
    <w:rsid w:val="00DD190E"/>
    <w:rsid w:val="00DD1F3E"/>
    <w:rsid w:val="00DD255F"/>
    <w:rsid w:val="00DD2788"/>
    <w:rsid w:val="00DD29BB"/>
    <w:rsid w:val="00DD2C5E"/>
    <w:rsid w:val="00DD2CEF"/>
    <w:rsid w:val="00DD2F52"/>
    <w:rsid w:val="00DD38FF"/>
    <w:rsid w:val="00DD411D"/>
    <w:rsid w:val="00DD4689"/>
    <w:rsid w:val="00DD4771"/>
    <w:rsid w:val="00DD548B"/>
    <w:rsid w:val="00DD5C04"/>
    <w:rsid w:val="00DD6327"/>
    <w:rsid w:val="00DD6923"/>
    <w:rsid w:val="00DD6B04"/>
    <w:rsid w:val="00DD6B14"/>
    <w:rsid w:val="00DD78BD"/>
    <w:rsid w:val="00DE0487"/>
    <w:rsid w:val="00DE0AB1"/>
    <w:rsid w:val="00DE0C2F"/>
    <w:rsid w:val="00DE1912"/>
    <w:rsid w:val="00DE1B61"/>
    <w:rsid w:val="00DE20E2"/>
    <w:rsid w:val="00DE2219"/>
    <w:rsid w:val="00DE2397"/>
    <w:rsid w:val="00DE4186"/>
    <w:rsid w:val="00DE4FB0"/>
    <w:rsid w:val="00DE6157"/>
    <w:rsid w:val="00DE793D"/>
    <w:rsid w:val="00DE7C01"/>
    <w:rsid w:val="00DF11DB"/>
    <w:rsid w:val="00DF1704"/>
    <w:rsid w:val="00DF1D48"/>
    <w:rsid w:val="00DF25FA"/>
    <w:rsid w:val="00DF26DD"/>
    <w:rsid w:val="00DF29AB"/>
    <w:rsid w:val="00DF44F8"/>
    <w:rsid w:val="00DF4E49"/>
    <w:rsid w:val="00DF4FF2"/>
    <w:rsid w:val="00DF5069"/>
    <w:rsid w:val="00DF5574"/>
    <w:rsid w:val="00DF5C26"/>
    <w:rsid w:val="00DF7D40"/>
    <w:rsid w:val="00DF7F73"/>
    <w:rsid w:val="00E00D20"/>
    <w:rsid w:val="00E017E1"/>
    <w:rsid w:val="00E01E44"/>
    <w:rsid w:val="00E02232"/>
    <w:rsid w:val="00E024CE"/>
    <w:rsid w:val="00E02AF7"/>
    <w:rsid w:val="00E03458"/>
    <w:rsid w:val="00E041DC"/>
    <w:rsid w:val="00E048FA"/>
    <w:rsid w:val="00E05AFA"/>
    <w:rsid w:val="00E05C1A"/>
    <w:rsid w:val="00E05C88"/>
    <w:rsid w:val="00E05D32"/>
    <w:rsid w:val="00E05EAE"/>
    <w:rsid w:val="00E066C0"/>
    <w:rsid w:val="00E06956"/>
    <w:rsid w:val="00E06B24"/>
    <w:rsid w:val="00E0781C"/>
    <w:rsid w:val="00E07CB4"/>
    <w:rsid w:val="00E10557"/>
    <w:rsid w:val="00E109DE"/>
    <w:rsid w:val="00E11C26"/>
    <w:rsid w:val="00E11EB6"/>
    <w:rsid w:val="00E12C3D"/>
    <w:rsid w:val="00E13C25"/>
    <w:rsid w:val="00E13D26"/>
    <w:rsid w:val="00E146EE"/>
    <w:rsid w:val="00E15BC8"/>
    <w:rsid w:val="00E16198"/>
    <w:rsid w:val="00E16841"/>
    <w:rsid w:val="00E16AB0"/>
    <w:rsid w:val="00E17126"/>
    <w:rsid w:val="00E175CE"/>
    <w:rsid w:val="00E17876"/>
    <w:rsid w:val="00E2006D"/>
    <w:rsid w:val="00E212B0"/>
    <w:rsid w:val="00E212CC"/>
    <w:rsid w:val="00E21CCF"/>
    <w:rsid w:val="00E21FAC"/>
    <w:rsid w:val="00E22E23"/>
    <w:rsid w:val="00E22EF9"/>
    <w:rsid w:val="00E23378"/>
    <w:rsid w:val="00E23FC8"/>
    <w:rsid w:val="00E241CC"/>
    <w:rsid w:val="00E26040"/>
    <w:rsid w:val="00E263EB"/>
    <w:rsid w:val="00E26625"/>
    <w:rsid w:val="00E268D9"/>
    <w:rsid w:val="00E26EB7"/>
    <w:rsid w:val="00E26F9F"/>
    <w:rsid w:val="00E270C8"/>
    <w:rsid w:val="00E278D9"/>
    <w:rsid w:val="00E27B40"/>
    <w:rsid w:val="00E30244"/>
    <w:rsid w:val="00E3038F"/>
    <w:rsid w:val="00E313F9"/>
    <w:rsid w:val="00E31C27"/>
    <w:rsid w:val="00E31EBD"/>
    <w:rsid w:val="00E32443"/>
    <w:rsid w:val="00E33C58"/>
    <w:rsid w:val="00E34556"/>
    <w:rsid w:val="00E346AD"/>
    <w:rsid w:val="00E348BB"/>
    <w:rsid w:val="00E34CA8"/>
    <w:rsid w:val="00E359A6"/>
    <w:rsid w:val="00E3633A"/>
    <w:rsid w:val="00E36539"/>
    <w:rsid w:val="00E36E8C"/>
    <w:rsid w:val="00E3782D"/>
    <w:rsid w:val="00E379EE"/>
    <w:rsid w:val="00E40B46"/>
    <w:rsid w:val="00E4196C"/>
    <w:rsid w:val="00E41BE1"/>
    <w:rsid w:val="00E41FA7"/>
    <w:rsid w:val="00E423C5"/>
    <w:rsid w:val="00E42541"/>
    <w:rsid w:val="00E42559"/>
    <w:rsid w:val="00E425D8"/>
    <w:rsid w:val="00E430C5"/>
    <w:rsid w:val="00E432FD"/>
    <w:rsid w:val="00E433D9"/>
    <w:rsid w:val="00E44350"/>
    <w:rsid w:val="00E44B9D"/>
    <w:rsid w:val="00E4520A"/>
    <w:rsid w:val="00E459AB"/>
    <w:rsid w:val="00E46301"/>
    <w:rsid w:val="00E4669B"/>
    <w:rsid w:val="00E46752"/>
    <w:rsid w:val="00E47D02"/>
    <w:rsid w:val="00E50023"/>
    <w:rsid w:val="00E50855"/>
    <w:rsid w:val="00E5175D"/>
    <w:rsid w:val="00E51E7A"/>
    <w:rsid w:val="00E5297E"/>
    <w:rsid w:val="00E534D3"/>
    <w:rsid w:val="00E534DD"/>
    <w:rsid w:val="00E53A3E"/>
    <w:rsid w:val="00E5402D"/>
    <w:rsid w:val="00E545FF"/>
    <w:rsid w:val="00E554B2"/>
    <w:rsid w:val="00E555EB"/>
    <w:rsid w:val="00E5571E"/>
    <w:rsid w:val="00E56715"/>
    <w:rsid w:val="00E56874"/>
    <w:rsid w:val="00E574A7"/>
    <w:rsid w:val="00E605F1"/>
    <w:rsid w:val="00E60B25"/>
    <w:rsid w:val="00E610D2"/>
    <w:rsid w:val="00E6130C"/>
    <w:rsid w:val="00E61D6B"/>
    <w:rsid w:val="00E61ED7"/>
    <w:rsid w:val="00E62332"/>
    <w:rsid w:val="00E6241F"/>
    <w:rsid w:val="00E62868"/>
    <w:rsid w:val="00E62907"/>
    <w:rsid w:val="00E62C18"/>
    <w:rsid w:val="00E63C51"/>
    <w:rsid w:val="00E649CD"/>
    <w:rsid w:val="00E65327"/>
    <w:rsid w:val="00E6574D"/>
    <w:rsid w:val="00E65C02"/>
    <w:rsid w:val="00E65C6E"/>
    <w:rsid w:val="00E65E2E"/>
    <w:rsid w:val="00E66C37"/>
    <w:rsid w:val="00E67D50"/>
    <w:rsid w:val="00E705C4"/>
    <w:rsid w:val="00E706AA"/>
    <w:rsid w:val="00E70762"/>
    <w:rsid w:val="00E70C8D"/>
    <w:rsid w:val="00E70E62"/>
    <w:rsid w:val="00E70FBB"/>
    <w:rsid w:val="00E71110"/>
    <w:rsid w:val="00E71131"/>
    <w:rsid w:val="00E72894"/>
    <w:rsid w:val="00E72D53"/>
    <w:rsid w:val="00E73561"/>
    <w:rsid w:val="00E73837"/>
    <w:rsid w:val="00E7390E"/>
    <w:rsid w:val="00E74AC5"/>
    <w:rsid w:val="00E75CD7"/>
    <w:rsid w:val="00E761E1"/>
    <w:rsid w:val="00E76FBA"/>
    <w:rsid w:val="00E771E2"/>
    <w:rsid w:val="00E77382"/>
    <w:rsid w:val="00E7777F"/>
    <w:rsid w:val="00E77D03"/>
    <w:rsid w:val="00E80655"/>
    <w:rsid w:val="00E80D27"/>
    <w:rsid w:val="00E811BF"/>
    <w:rsid w:val="00E8178D"/>
    <w:rsid w:val="00E81C45"/>
    <w:rsid w:val="00E821AE"/>
    <w:rsid w:val="00E8296D"/>
    <w:rsid w:val="00E83BB4"/>
    <w:rsid w:val="00E84218"/>
    <w:rsid w:val="00E8435F"/>
    <w:rsid w:val="00E84590"/>
    <w:rsid w:val="00E846D7"/>
    <w:rsid w:val="00E8559D"/>
    <w:rsid w:val="00E85A34"/>
    <w:rsid w:val="00E85B26"/>
    <w:rsid w:val="00E865FF"/>
    <w:rsid w:val="00E86901"/>
    <w:rsid w:val="00E869E5"/>
    <w:rsid w:val="00E86D42"/>
    <w:rsid w:val="00E8739E"/>
    <w:rsid w:val="00E87789"/>
    <w:rsid w:val="00E909BE"/>
    <w:rsid w:val="00E90C1C"/>
    <w:rsid w:val="00E920A4"/>
    <w:rsid w:val="00E92ED1"/>
    <w:rsid w:val="00E92F67"/>
    <w:rsid w:val="00E930CA"/>
    <w:rsid w:val="00E933ED"/>
    <w:rsid w:val="00E93573"/>
    <w:rsid w:val="00E935CC"/>
    <w:rsid w:val="00E93EF5"/>
    <w:rsid w:val="00E93FCB"/>
    <w:rsid w:val="00E9447B"/>
    <w:rsid w:val="00E94BC6"/>
    <w:rsid w:val="00E94C21"/>
    <w:rsid w:val="00E95F1B"/>
    <w:rsid w:val="00E96563"/>
    <w:rsid w:val="00E97586"/>
    <w:rsid w:val="00E97A4F"/>
    <w:rsid w:val="00E97B1F"/>
    <w:rsid w:val="00EA1A9A"/>
    <w:rsid w:val="00EA1BA0"/>
    <w:rsid w:val="00EA1FE7"/>
    <w:rsid w:val="00EA2F49"/>
    <w:rsid w:val="00EA4581"/>
    <w:rsid w:val="00EA5782"/>
    <w:rsid w:val="00EA5BC0"/>
    <w:rsid w:val="00EA5E25"/>
    <w:rsid w:val="00EA5EFC"/>
    <w:rsid w:val="00EA6359"/>
    <w:rsid w:val="00EA6C8E"/>
    <w:rsid w:val="00EA76B8"/>
    <w:rsid w:val="00EA7B61"/>
    <w:rsid w:val="00EA7FA3"/>
    <w:rsid w:val="00EB1AA7"/>
    <w:rsid w:val="00EB29E4"/>
    <w:rsid w:val="00EB43C0"/>
    <w:rsid w:val="00EB4540"/>
    <w:rsid w:val="00EB4E94"/>
    <w:rsid w:val="00EB54E5"/>
    <w:rsid w:val="00EB5671"/>
    <w:rsid w:val="00EB5DE2"/>
    <w:rsid w:val="00EB5F2E"/>
    <w:rsid w:val="00EB7D3A"/>
    <w:rsid w:val="00EC0D0D"/>
    <w:rsid w:val="00EC101F"/>
    <w:rsid w:val="00EC214D"/>
    <w:rsid w:val="00EC32C7"/>
    <w:rsid w:val="00EC39AF"/>
    <w:rsid w:val="00EC3D3C"/>
    <w:rsid w:val="00EC4166"/>
    <w:rsid w:val="00EC4EEA"/>
    <w:rsid w:val="00EC56C6"/>
    <w:rsid w:val="00EC6100"/>
    <w:rsid w:val="00EC65DF"/>
    <w:rsid w:val="00EC7961"/>
    <w:rsid w:val="00ED065C"/>
    <w:rsid w:val="00ED066A"/>
    <w:rsid w:val="00ED1192"/>
    <w:rsid w:val="00ED21B8"/>
    <w:rsid w:val="00ED358C"/>
    <w:rsid w:val="00ED376F"/>
    <w:rsid w:val="00ED37B7"/>
    <w:rsid w:val="00ED3E89"/>
    <w:rsid w:val="00ED435F"/>
    <w:rsid w:val="00ED43CD"/>
    <w:rsid w:val="00ED5AA0"/>
    <w:rsid w:val="00ED664A"/>
    <w:rsid w:val="00ED6E39"/>
    <w:rsid w:val="00ED79B8"/>
    <w:rsid w:val="00ED7F1E"/>
    <w:rsid w:val="00EE01FF"/>
    <w:rsid w:val="00EE0953"/>
    <w:rsid w:val="00EE1277"/>
    <w:rsid w:val="00EE1419"/>
    <w:rsid w:val="00EE253F"/>
    <w:rsid w:val="00EE265C"/>
    <w:rsid w:val="00EE2877"/>
    <w:rsid w:val="00EE2A57"/>
    <w:rsid w:val="00EE32D0"/>
    <w:rsid w:val="00EE3592"/>
    <w:rsid w:val="00EE37B4"/>
    <w:rsid w:val="00EE43F6"/>
    <w:rsid w:val="00EE53D0"/>
    <w:rsid w:val="00EE62A7"/>
    <w:rsid w:val="00EE756F"/>
    <w:rsid w:val="00EF01DA"/>
    <w:rsid w:val="00EF0894"/>
    <w:rsid w:val="00EF19A3"/>
    <w:rsid w:val="00EF2309"/>
    <w:rsid w:val="00EF2530"/>
    <w:rsid w:val="00EF3B10"/>
    <w:rsid w:val="00EF4EEB"/>
    <w:rsid w:val="00EF5516"/>
    <w:rsid w:val="00EF553F"/>
    <w:rsid w:val="00EF58BC"/>
    <w:rsid w:val="00EF61AB"/>
    <w:rsid w:val="00EF6A89"/>
    <w:rsid w:val="00EF70A1"/>
    <w:rsid w:val="00EF7112"/>
    <w:rsid w:val="00EF765B"/>
    <w:rsid w:val="00EF7D43"/>
    <w:rsid w:val="00EF7DAE"/>
    <w:rsid w:val="00F00DEF"/>
    <w:rsid w:val="00F01122"/>
    <w:rsid w:val="00F01EEC"/>
    <w:rsid w:val="00F02659"/>
    <w:rsid w:val="00F02830"/>
    <w:rsid w:val="00F041D5"/>
    <w:rsid w:val="00F0492D"/>
    <w:rsid w:val="00F0557A"/>
    <w:rsid w:val="00F05945"/>
    <w:rsid w:val="00F05BFE"/>
    <w:rsid w:val="00F0620E"/>
    <w:rsid w:val="00F06586"/>
    <w:rsid w:val="00F06615"/>
    <w:rsid w:val="00F06626"/>
    <w:rsid w:val="00F07449"/>
    <w:rsid w:val="00F07FB3"/>
    <w:rsid w:val="00F1021B"/>
    <w:rsid w:val="00F1057B"/>
    <w:rsid w:val="00F127CE"/>
    <w:rsid w:val="00F12DD5"/>
    <w:rsid w:val="00F13411"/>
    <w:rsid w:val="00F1346A"/>
    <w:rsid w:val="00F1438A"/>
    <w:rsid w:val="00F146DF"/>
    <w:rsid w:val="00F1480F"/>
    <w:rsid w:val="00F14E8F"/>
    <w:rsid w:val="00F157C2"/>
    <w:rsid w:val="00F16643"/>
    <w:rsid w:val="00F16A2C"/>
    <w:rsid w:val="00F16C1A"/>
    <w:rsid w:val="00F16C6F"/>
    <w:rsid w:val="00F17840"/>
    <w:rsid w:val="00F2042E"/>
    <w:rsid w:val="00F20635"/>
    <w:rsid w:val="00F21727"/>
    <w:rsid w:val="00F2205B"/>
    <w:rsid w:val="00F22343"/>
    <w:rsid w:val="00F23005"/>
    <w:rsid w:val="00F23653"/>
    <w:rsid w:val="00F24ADF"/>
    <w:rsid w:val="00F24B37"/>
    <w:rsid w:val="00F2679B"/>
    <w:rsid w:val="00F268DE"/>
    <w:rsid w:val="00F30C68"/>
    <w:rsid w:val="00F30EB6"/>
    <w:rsid w:val="00F31845"/>
    <w:rsid w:val="00F31C9A"/>
    <w:rsid w:val="00F32373"/>
    <w:rsid w:val="00F32A48"/>
    <w:rsid w:val="00F33D2E"/>
    <w:rsid w:val="00F33FF6"/>
    <w:rsid w:val="00F34340"/>
    <w:rsid w:val="00F34D48"/>
    <w:rsid w:val="00F357E5"/>
    <w:rsid w:val="00F35814"/>
    <w:rsid w:val="00F35B7A"/>
    <w:rsid w:val="00F35BB0"/>
    <w:rsid w:val="00F35CA3"/>
    <w:rsid w:val="00F35DBF"/>
    <w:rsid w:val="00F365F7"/>
    <w:rsid w:val="00F3665C"/>
    <w:rsid w:val="00F36A79"/>
    <w:rsid w:val="00F36D9D"/>
    <w:rsid w:val="00F372C5"/>
    <w:rsid w:val="00F3784A"/>
    <w:rsid w:val="00F37FFC"/>
    <w:rsid w:val="00F40D17"/>
    <w:rsid w:val="00F40DB0"/>
    <w:rsid w:val="00F40F82"/>
    <w:rsid w:val="00F412A2"/>
    <w:rsid w:val="00F41C68"/>
    <w:rsid w:val="00F42641"/>
    <w:rsid w:val="00F42EB1"/>
    <w:rsid w:val="00F43748"/>
    <w:rsid w:val="00F4388C"/>
    <w:rsid w:val="00F444EC"/>
    <w:rsid w:val="00F447F8"/>
    <w:rsid w:val="00F4572A"/>
    <w:rsid w:val="00F45A8F"/>
    <w:rsid w:val="00F46141"/>
    <w:rsid w:val="00F47582"/>
    <w:rsid w:val="00F47992"/>
    <w:rsid w:val="00F47DDD"/>
    <w:rsid w:val="00F501D7"/>
    <w:rsid w:val="00F52788"/>
    <w:rsid w:val="00F53550"/>
    <w:rsid w:val="00F53802"/>
    <w:rsid w:val="00F53A4A"/>
    <w:rsid w:val="00F54217"/>
    <w:rsid w:val="00F54B10"/>
    <w:rsid w:val="00F55043"/>
    <w:rsid w:val="00F56262"/>
    <w:rsid w:val="00F56592"/>
    <w:rsid w:val="00F5690A"/>
    <w:rsid w:val="00F57462"/>
    <w:rsid w:val="00F574F7"/>
    <w:rsid w:val="00F57CB6"/>
    <w:rsid w:val="00F57E17"/>
    <w:rsid w:val="00F60AA9"/>
    <w:rsid w:val="00F60E99"/>
    <w:rsid w:val="00F611E0"/>
    <w:rsid w:val="00F62296"/>
    <w:rsid w:val="00F62BE9"/>
    <w:rsid w:val="00F6487C"/>
    <w:rsid w:val="00F64CAF"/>
    <w:rsid w:val="00F64CEA"/>
    <w:rsid w:val="00F66560"/>
    <w:rsid w:val="00F66748"/>
    <w:rsid w:val="00F66E24"/>
    <w:rsid w:val="00F672EE"/>
    <w:rsid w:val="00F675ED"/>
    <w:rsid w:val="00F67901"/>
    <w:rsid w:val="00F700F9"/>
    <w:rsid w:val="00F7030F"/>
    <w:rsid w:val="00F70F2B"/>
    <w:rsid w:val="00F7124C"/>
    <w:rsid w:val="00F713E2"/>
    <w:rsid w:val="00F714BF"/>
    <w:rsid w:val="00F742D1"/>
    <w:rsid w:val="00F74951"/>
    <w:rsid w:val="00F74D9F"/>
    <w:rsid w:val="00F74EE5"/>
    <w:rsid w:val="00F75BC1"/>
    <w:rsid w:val="00F76F29"/>
    <w:rsid w:val="00F77451"/>
    <w:rsid w:val="00F77C53"/>
    <w:rsid w:val="00F77F4E"/>
    <w:rsid w:val="00F800E0"/>
    <w:rsid w:val="00F81962"/>
    <w:rsid w:val="00F81C3F"/>
    <w:rsid w:val="00F8278D"/>
    <w:rsid w:val="00F831ED"/>
    <w:rsid w:val="00F83A4B"/>
    <w:rsid w:val="00F83E47"/>
    <w:rsid w:val="00F84C56"/>
    <w:rsid w:val="00F85270"/>
    <w:rsid w:val="00F85937"/>
    <w:rsid w:val="00F86A1B"/>
    <w:rsid w:val="00F87E86"/>
    <w:rsid w:val="00F903C2"/>
    <w:rsid w:val="00F91658"/>
    <w:rsid w:val="00F91817"/>
    <w:rsid w:val="00F91E50"/>
    <w:rsid w:val="00F922A1"/>
    <w:rsid w:val="00F923D4"/>
    <w:rsid w:val="00F92CE9"/>
    <w:rsid w:val="00F92F05"/>
    <w:rsid w:val="00F93AB7"/>
    <w:rsid w:val="00F9430E"/>
    <w:rsid w:val="00F94EE3"/>
    <w:rsid w:val="00F95A8F"/>
    <w:rsid w:val="00F9602B"/>
    <w:rsid w:val="00F965D3"/>
    <w:rsid w:val="00F97010"/>
    <w:rsid w:val="00F97293"/>
    <w:rsid w:val="00FA0281"/>
    <w:rsid w:val="00FA0393"/>
    <w:rsid w:val="00FA056D"/>
    <w:rsid w:val="00FA0753"/>
    <w:rsid w:val="00FA0E78"/>
    <w:rsid w:val="00FA117E"/>
    <w:rsid w:val="00FA184C"/>
    <w:rsid w:val="00FA1861"/>
    <w:rsid w:val="00FA1B95"/>
    <w:rsid w:val="00FA1EAD"/>
    <w:rsid w:val="00FA368D"/>
    <w:rsid w:val="00FA418F"/>
    <w:rsid w:val="00FA4C6D"/>
    <w:rsid w:val="00FA4F3E"/>
    <w:rsid w:val="00FA6C94"/>
    <w:rsid w:val="00FA74A1"/>
    <w:rsid w:val="00FA7A08"/>
    <w:rsid w:val="00FB0AAB"/>
    <w:rsid w:val="00FB0D14"/>
    <w:rsid w:val="00FB1636"/>
    <w:rsid w:val="00FB16A6"/>
    <w:rsid w:val="00FB1C9F"/>
    <w:rsid w:val="00FB21DD"/>
    <w:rsid w:val="00FB25BE"/>
    <w:rsid w:val="00FB309B"/>
    <w:rsid w:val="00FB34DE"/>
    <w:rsid w:val="00FB35DC"/>
    <w:rsid w:val="00FB3619"/>
    <w:rsid w:val="00FB3D7C"/>
    <w:rsid w:val="00FB400A"/>
    <w:rsid w:val="00FB4F99"/>
    <w:rsid w:val="00FB500C"/>
    <w:rsid w:val="00FB5A79"/>
    <w:rsid w:val="00FB5EA8"/>
    <w:rsid w:val="00FB61AA"/>
    <w:rsid w:val="00FB660F"/>
    <w:rsid w:val="00FB6F77"/>
    <w:rsid w:val="00FC06D3"/>
    <w:rsid w:val="00FC0BF5"/>
    <w:rsid w:val="00FC0D6C"/>
    <w:rsid w:val="00FC1710"/>
    <w:rsid w:val="00FC2B5B"/>
    <w:rsid w:val="00FC3387"/>
    <w:rsid w:val="00FC3875"/>
    <w:rsid w:val="00FC439D"/>
    <w:rsid w:val="00FC45A1"/>
    <w:rsid w:val="00FC4BA6"/>
    <w:rsid w:val="00FC5301"/>
    <w:rsid w:val="00FC544B"/>
    <w:rsid w:val="00FC6AE3"/>
    <w:rsid w:val="00FC7535"/>
    <w:rsid w:val="00FC7D38"/>
    <w:rsid w:val="00FD0BE1"/>
    <w:rsid w:val="00FD1C6B"/>
    <w:rsid w:val="00FD236C"/>
    <w:rsid w:val="00FD2A41"/>
    <w:rsid w:val="00FD2DD6"/>
    <w:rsid w:val="00FD31B7"/>
    <w:rsid w:val="00FD3619"/>
    <w:rsid w:val="00FD3C5F"/>
    <w:rsid w:val="00FD3EBC"/>
    <w:rsid w:val="00FD3FBD"/>
    <w:rsid w:val="00FD416B"/>
    <w:rsid w:val="00FD4C4E"/>
    <w:rsid w:val="00FD5427"/>
    <w:rsid w:val="00FD63EE"/>
    <w:rsid w:val="00FD6E79"/>
    <w:rsid w:val="00FD6F95"/>
    <w:rsid w:val="00FD6F9A"/>
    <w:rsid w:val="00FD7887"/>
    <w:rsid w:val="00FD7A66"/>
    <w:rsid w:val="00FD7D3C"/>
    <w:rsid w:val="00FE06FA"/>
    <w:rsid w:val="00FE19FA"/>
    <w:rsid w:val="00FE1B73"/>
    <w:rsid w:val="00FE1E94"/>
    <w:rsid w:val="00FE20EC"/>
    <w:rsid w:val="00FE2B5E"/>
    <w:rsid w:val="00FE2CE0"/>
    <w:rsid w:val="00FE336C"/>
    <w:rsid w:val="00FE345E"/>
    <w:rsid w:val="00FE4987"/>
    <w:rsid w:val="00FE52D1"/>
    <w:rsid w:val="00FE5E21"/>
    <w:rsid w:val="00FE5FDD"/>
    <w:rsid w:val="00FE65CC"/>
    <w:rsid w:val="00FE6AB8"/>
    <w:rsid w:val="00FE758A"/>
    <w:rsid w:val="00FE7967"/>
    <w:rsid w:val="00FF06CA"/>
    <w:rsid w:val="00FF0839"/>
    <w:rsid w:val="00FF0A77"/>
    <w:rsid w:val="00FF0BCD"/>
    <w:rsid w:val="00FF1708"/>
    <w:rsid w:val="00FF1770"/>
    <w:rsid w:val="00FF1C6F"/>
    <w:rsid w:val="00FF1F7F"/>
    <w:rsid w:val="00FF2572"/>
    <w:rsid w:val="00FF2C22"/>
    <w:rsid w:val="00FF3122"/>
    <w:rsid w:val="00FF3F39"/>
    <w:rsid w:val="00FF400A"/>
    <w:rsid w:val="00FF49CB"/>
    <w:rsid w:val="00FF4FC7"/>
    <w:rsid w:val="00FF5425"/>
    <w:rsid w:val="00FF5846"/>
    <w:rsid w:val="00FF5A7E"/>
    <w:rsid w:val="00FF5B6E"/>
    <w:rsid w:val="00FF6A8D"/>
    <w:rsid w:val="00FF6F24"/>
    <w:rsid w:val="028AF54B"/>
    <w:rsid w:val="02D9EAEB"/>
    <w:rsid w:val="030CE04E"/>
    <w:rsid w:val="037ACEEC"/>
    <w:rsid w:val="05D3F6FB"/>
    <w:rsid w:val="06A04D91"/>
    <w:rsid w:val="07382150"/>
    <w:rsid w:val="07D65AE4"/>
    <w:rsid w:val="0A36A4E5"/>
    <w:rsid w:val="0A5B53C3"/>
    <w:rsid w:val="0AA2B46B"/>
    <w:rsid w:val="0F136679"/>
    <w:rsid w:val="10482BC1"/>
    <w:rsid w:val="10B19A46"/>
    <w:rsid w:val="11B025D2"/>
    <w:rsid w:val="11EBA4BF"/>
    <w:rsid w:val="12353E69"/>
    <w:rsid w:val="12DFC03B"/>
    <w:rsid w:val="12E03490"/>
    <w:rsid w:val="12F186B5"/>
    <w:rsid w:val="13285FA1"/>
    <w:rsid w:val="14113412"/>
    <w:rsid w:val="14202BF7"/>
    <w:rsid w:val="18B2B24F"/>
    <w:rsid w:val="1905DFC5"/>
    <w:rsid w:val="1988956D"/>
    <w:rsid w:val="1AD1D09C"/>
    <w:rsid w:val="1C685B23"/>
    <w:rsid w:val="1E0EC3A7"/>
    <w:rsid w:val="1E436ECC"/>
    <w:rsid w:val="1E6F66E5"/>
    <w:rsid w:val="1F384D12"/>
    <w:rsid w:val="1FD7B032"/>
    <w:rsid w:val="2030A4BA"/>
    <w:rsid w:val="21CAA1B4"/>
    <w:rsid w:val="235525CB"/>
    <w:rsid w:val="23775899"/>
    <w:rsid w:val="23A6EDEB"/>
    <w:rsid w:val="24EB6CD1"/>
    <w:rsid w:val="258CFAB1"/>
    <w:rsid w:val="25A7E705"/>
    <w:rsid w:val="27A7D10E"/>
    <w:rsid w:val="286EBCC3"/>
    <w:rsid w:val="297CD8AE"/>
    <w:rsid w:val="29BD2D29"/>
    <w:rsid w:val="2D27363F"/>
    <w:rsid w:val="2EBD4C3F"/>
    <w:rsid w:val="2FB76F98"/>
    <w:rsid w:val="3529E931"/>
    <w:rsid w:val="3667E75F"/>
    <w:rsid w:val="369FC14C"/>
    <w:rsid w:val="36AE67C9"/>
    <w:rsid w:val="370730DC"/>
    <w:rsid w:val="3784C49B"/>
    <w:rsid w:val="3930C6C8"/>
    <w:rsid w:val="39FAA7B9"/>
    <w:rsid w:val="3A7F9500"/>
    <w:rsid w:val="3EDBF180"/>
    <w:rsid w:val="40A5AFF0"/>
    <w:rsid w:val="41988489"/>
    <w:rsid w:val="436D1D88"/>
    <w:rsid w:val="450E868A"/>
    <w:rsid w:val="47EC9277"/>
    <w:rsid w:val="49CCB774"/>
    <w:rsid w:val="49E0E574"/>
    <w:rsid w:val="4A0CB394"/>
    <w:rsid w:val="4B23CD0A"/>
    <w:rsid w:val="4DD684B7"/>
    <w:rsid w:val="4E88E789"/>
    <w:rsid w:val="53351498"/>
    <w:rsid w:val="54A0F88B"/>
    <w:rsid w:val="5505B37C"/>
    <w:rsid w:val="5559DB1F"/>
    <w:rsid w:val="55E6C0A4"/>
    <w:rsid w:val="562B6298"/>
    <w:rsid w:val="5662A882"/>
    <w:rsid w:val="59D78C23"/>
    <w:rsid w:val="5A14696A"/>
    <w:rsid w:val="5A5761BA"/>
    <w:rsid w:val="5B847769"/>
    <w:rsid w:val="5C6A0D4D"/>
    <w:rsid w:val="5CC0C3A8"/>
    <w:rsid w:val="5D689CE0"/>
    <w:rsid w:val="5F60DA25"/>
    <w:rsid w:val="5FF5F714"/>
    <w:rsid w:val="6230EA60"/>
    <w:rsid w:val="645C1EC6"/>
    <w:rsid w:val="649442A1"/>
    <w:rsid w:val="675E25B1"/>
    <w:rsid w:val="685C2BA5"/>
    <w:rsid w:val="69237D27"/>
    <w:rsid w:val="6A905A81"/>
    <w:rsid w:val="6BE1499F"/>
    <w:rsid w:val="6DA1FDB4"/>
    <w:rsid w:val="6DFBCF44"/>
    <w:rsid w:val="6E33919B"/>
    <w:rsid w:val="70C1B81A"/>
    <w:rsid w:val="7514AA5A"/>
    <w:rsid w:val="75C77839"/>
    <w:rsid w:val="77212EA9"/>
    <w:rsid w:val="7C7B0B1F"/>
    <w:rsid w:val="7CBB5441"/>
    <w:rsid w:val="7ED68D70"/>
    <w:rsid w:val="7F33E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1A87D"/>
  <w15:chartTrackingRefBased/>
  <w15:docId w15:val="{A94FE393-B4E5-4AB7-8AF0-2E1216FE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3D8"/>
    <w:pPr>
      <w:spacing w:after="120"/>
      <w:jc w:val="both"/>
    </w:pPr>
    <w:rPr>
      <w:sz w:val="24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6"/>
      </w:numPr>
      <w:spacing w:after="240"/>
      <w:outlineLvl w:val="0"/>
    </w:pPr>
    <w:rPr>
      <w:b/>
      <w:kern w:val="28"/>
    </w:rPr>
  </w:style>
  <w:style w:type="paragraph" w:styleId="Heading2">
    <w:name w:val="heading 2"/>
    <w:basedOn w:val="Normal"/>
    <w:link w:val="Heading2Char"/>
    <w:qFormat/>
    <w:pPr>
      <w:keepNext/>
      <w:numPr>
        <w:ilvl w:val="1"/>
        <w:numId w:val="6"/>
      </w:numPr>
      <w:spacing w:after="240"/>
      <w:outlineLvl w:val="1"/>
    </w:pPr>
  </w:style>
  <w:style w:type="paragraph" w:styleId="Heading3">
    <w:name w:val="heading 3"/>
    <w:basedOn w:val="Normal"/>
    <w:qFormat/>
    <w:pPr>
      <w:keepNext/>
      <w:numPr>
        <w:ilvl w:val="2"/>
        <w:numId w:val="6"/>
      </w:numPr>
      <w:outlineLvl w:val="2"/>
    </w:pPr>
  </w:style>
  <w:style w:type="paragraph" w:styleId="Heading4">
    <w:name w:val="heading 4"/>
    <w:aliases w:val="Char Char,Char,Heading 41,Char Char1,Char1,Char2,Char Char2,Char Char1 Char,Char1 Char,Char2 Char,Char Char Char, Char Char, Char, Char Char1, Char1, Char2, Char Char Char,Char Char Char Char"/>
    <w:basedOn w:val="Normal"/>
    <w:next w:val="Normal"/>
    <w:qFormat/>
    <w:pPr>
      <w:keepNext/>
      <w:numPr>
        <w:ilvl w:val="3"/>
        <w:numId w:val="6"/>
      </w:numPr>
      <w:spacing w:after="240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6"/>
      </w:numPr>
      <w:spacing w:after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after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6"/>
      </w:numPr>
      <w:spacing w:after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6"/>
      </w:numPr>
      <w:spacing w:after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6"/>
      </w:numPr>
      <w:spacing w:after="240"/>
      <w:outlineLvl w:val="8"/>
    </w:pPr>
    <w:rPr>
      <w:rFonts w:ascii="Arial" w:hAnsi="Arial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left="720"/>
    </w:pPr>
    <w:rPr>
      <w:snapToGrid w:val="0"/>
    </w:rPr>
  </w:style>
  <w:style w:type="paragraph" w:customStyle="1" w:styleId="TableText">
    <w:name w:val="Table Text"/>
    <w:basedOn w:val="Normal"/>
    <w:pPr>
      <w:spacing w:before="120"/>
      <w:jc w:val="left"/>
    </w:pPr>
    <w:rPr>
      <w:b/>
    </w:rPr>
  </w:style>
  <w:style w:type="paragraph" w:styleId="NormalIndent">
    <w:name w:val="Normal Indent"/>
    <w:basedOn w:val="Normal"/>
    <w:pPr>
      <w:ind w:left="720"/>
    </w:pPr>
  </w:style>
  <w:style w:type="paragraph" w:customStyle="1" w:styleId="BodySingle">
    <w:name w:val="Body Single"/>
    <w:pPr>
      <w:ind w:left="720"/>
      <w:jc w:val="both"/>
    </w:pPr>
    <w:rPr>
      <w:snapToGrid w:val="0"/>
      <w:color w:val="000000"/>
      <w:sz w:val="24"/>
      <w:lang w:val="en-US" w:eastAsia="en-US"/>
    </w:rPr>
  </w:style>
  <w:style w:type="paragraph" w:customStyle="1" w:styleId="ListRoman">
    <w:name w:val="List Roman"/>
    <w:basedOn w:val="List"/>
    <w:pPr>
      <w:numPr>
        <w:numId w:val="3"/>
      </w:numPr>
      <w:spacing w:after="240"/>
    </w:pPr>
  </w:style>
  <w:style w:type="paragraph" w:customStyle="1" w:styleId="Bullets">
    <w:name w:val="Bullets"/>
    <w:basedOn w:val="Normal"/>
    <w:pPr>
      <w:numPr>
        <w:numId w:val="2"/>
      </w:numPr>
      <w:spacing w:after="240"/>
    </w:pPr>
  </w:style>
  <w:style w:type="paragraph" w:styleId="List">
    <w:name w:val="List"/>
    <w:basedOn w:val="Normal"/>
    <w:pPr>
      <w:ind w:left="283" w:hanging="283"/>
    </w:pPr>
  </w:style>
  <w:style w:type="paragraph" w:customStyle="1" w:styleId="Recommendation">
    <w:name w:val="Recommendation"/>
    <w:next w:val="Recpoint"/>
    <w:pPr>
      <w:spacing w:after="240"/>
      <w:jc w:val="both"/>
    </w:pPr>
    <w:rPr>
      <w:b/>
      <w:noProof/>
      <w:sz w:val="24"/>
      <w:lang w:val="en-US" w:eastAsia="en-US"/>
    </w:rPr>
  </w:style>
  <w:style w:type="paragraph" w:customStyle="1" w:styleId="Recpoint">
    <w:name w:val="Recpoint"/>
    <w:pPr>
      <w:numPr>
        <w:numId w:val="1"/>
      </w:numPr>
      <w:spacing w:after="240"/>
      <w:jc w:val="both"/>
    </w:pPr>
    <w:rPr>
      <w:noProof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E572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70DE8"/>
    <w:rPr>
      <w:sz w:val="16"/>
      <w:szCs w:val="16"/>
    </w:rPr>
  </w:style>
  <w:style w:type="paragraph" w:styleId="CommentText">
    <w:name w:val="annotation text"/>
    <w:basedOn w:val="Normal"/>
    <w:semiHidden/>
    <w:rsid w:val="00770DE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70DE8"/>
    <w:rPr>
      <w:b/>
      <w:bCs/>
    </w:rPr>
  </w:style>
  <w:style w:type="table" w:styleId="TableGrid">
    <w:name w:val="Table Grid"/>
    <w:basedOn w:val="TableNormal"/>
    <w:uiPriority w:val="59"/>
    <w:rsid w:val="00FB400A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418A8"/>
    <w:rPr>
      <w:color w:val="0000FF"/>
      <w:u w:val="single"/>
    </w:rPr>
  </w:style>
  <w:style w:type="character" w:styleId="FollowedHyperlink">
    <w:name w:val="FollowedHyperlink"/>
    <w:rsid w:val="00A418A8"/>
    <w:rPr>
      <w:color w:val="800080"/>
      <w:u w:val="single"/>
    </w:rPr>
  </w:style>
  <w:style w:type="paragraph" w:styleId="ListNumber">
    <w:name w:val="List Number"/>
    <w:basedOn w:val="Normal"/>
    <w:rsid w:val="001F133E"/>
    <w:pPr>
      <w:numPr>
        <w:numId w:val="4"/>
      </w:numPr>
    </w:pPr>
  </w:style>
  <w:style w:type="character" w:styleId="Strong">
    <w:name w:val="Strong"/>
    <w:qFormat/>
    <w:rsid w:val="00EC39AF"/>
    <w:rPr>
      <w:b/>
      <w:bCs/>
    </w:rPr>
  </w:style>
  <w:style w:type="paragraph" w:styleId="ListBullet">
    <w:name w:val="List Bullet"/>
    <w:basedOn w:val="Normal"/>
    <w:rsid w:val="000A524F"/>
    <w:pPr>
      <w:numPr>
        <w:numId w:val="5"/>
      </w:numPr>
      <w:jc w:val="left"/>
    </w:pPr>
    <w:rPr>
      <w:rFonts w:ascii="Garamond" w:hAnsi="Garamond"/>
    </w:rPr>
  </w:style>
  <w:style w:type="paragraph" w:styleId="DocumentMap">
    <w:name w:val="Document Map"/>
    <w:basedOn w:val="Normal"/>
    <w:semiHidden/>
    <w:rsid w:val="00C53DC8"/>
    <w:pPr>
      <w:shd w:val="clear" w:color="auto" w:fill="000080"/>
    </w:pPr>
    <w:rPr>
      <w:rFonts w:ascii="Tahoma" w:hAnsi="Tahoma" w:cs="Tahoma"/>
      <w:sz w:val="20"/>
    </w:rPr>
  </w:style>
  <w:style w:type="paragraph" w:styleId="EndnoteText">
    <w:name w:val="endnote text"/>
    <w:basedOn w:val="Normal"/>
    <w:link w:val="EndnoteTextChar"/>
    <w:semiHidden/>
    <w:rsid w:val="00A87BE6"/>
    <w:pPr>
      <w:spacing w:after="0"/>
      <w:jc w:val="left"/>
    </w:pPr>
    <w:rPr>
      <w:sz w:val="20"/>
    </w:rPr>
  </w:style>
  <w:style w:type="paragraph" w:customStyle="1" w:styleId="Default">
    <w:name w:val="Default"/>
    <w:rsid w:val="00CD0C4D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paragraph" w:styleId="FootnoteText">
    <w:name w:val="footnote text"/>
    <w:basedOn w:val="Normal"/>
    <w:link w:val="FootnoteTextChar"/>
    <w:rsid w:val="000C6822"/>
    <w:rPr>
      <w:sz w:val="20"/>
    </w:rPr>
  </w:style>
  <w:style w:type="character" w:customStyle="1" w:styleId="FootnoteTextChar">
    <w:name w:val="Footnote Text Char"/>
    <w:link w:val="FootnoteText"/>
    <w:rsid w:val="000C6822"/>
    <w:rPr>
      <w:lang w:eastAsia="en-US"/>
    </w:rPr>
  </w:style>
  <w:style w:type="character" w:styleId="FootnoteReference">
    <w:name w:val="footnote reference"/>
    <w:rsid w:val="000C682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42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003CD2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050698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3A4AC4"/>
    <w:pPr>
      <w:spacing w:before="100" w:beforeAutospacing="1" w:after="100" w:afterAutospacing="1"/>
      <w:jc w:val="left"/>
    </w:pPr>
    <w:rPr>
      <w:szCs w:val="24"/>
      <w:lang w:eastAsia="en-GB"/>
    </w:rPr>
  </w:style>
  <w:style w:type="table" w:customStyle="1" w:styleId="TableGrid2">
    <w:name w:val="Table Grid2"/>
    <w:basedOn w:val="TableNormal"/>
    <w:next w:val="TableGrid"/>
    <w:rsid w:val="00C1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locked/>
    <w:rsid w:val="00885260"/>
    <w:rPr>
      <w:sz w:val="24"/>
      <w:lang w:eastAsia="en-US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27274E"/>
    <w:pPr>
      <w:spacing w:after="0"/>
      <w:ind w:left="720"/>
      <w:jc w:val="left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EndnoteTextChar">
    <w:name w:val="Endnote Text Char"/>
    <w:link w:val="EndnoteText"/>
    <w:semiHidden/>
    <w:rsid w:val="00971FFC"/>
    <w:rPr>
      <w:lang w:eastAsia="en-US"/>
    </w:rPr>
  </w:style>
  <w:style w:type="numbering" w:customStyle="1" w:styleId="LFO25">
    <w:name w:val="LFO25"/>
    <w:basedOn w:val="NoList"/>
    <w:rsid w:val="00B36991"/>
    <w:pPr>
      <w:numPr>
        <w:numId w:val="7"/>
      </w:numPr>
    </w:pPr>
  </w:style>
  <w:style w:type="character" w:customStyle="1" w:styleId="Heading4Char">
    <w:name w:val="Heading 4 Char"/>
    <w:rsid w:val="00686F49"/>
    <w:rPr>
      <w:b/>
      <w:bCs/>
      <w:color w:val="104F75"/>
      <w:sz w:val="24"/>
      <w:szCs w:val="28"/>
    </w:rPr>
  </w:style>
  <w:style w:type="character" w:customStyle="1" w:styleId="normaltextrun">
    <w:name w:val="normaltextrun"/>
    <w:rsid w:val="007F0ADD"/>
  </w:style>
  <w:style w:type="character" w:customStyle="1" w:styleId="eop">
    <w:name w:val="eop"/>
    <w:rsid w:val="007F0ADD"/>
  </w:style>
  <w:style w:type="character" w:customStyle="1" w:styleId="Heading5Char">
    <w:name w:val="Heading 5 Char"/>
    <w:link w:val="Heading5"/>
    <w:rsid w:val="00C744C4"/>
    <w:rPr>
      <w:sz w:val="22"/>
      <w:lang w:eastAsia="en-US"/>
    </w:rPr>
  </w:style>
  <w:style w:type="paragraph" w:customStyle="1" w:styleId="DfESOutNumbered1">
    <w:name w:val="DfESOutNumbered1"/>
    <w:basedOn w:val="Normal"/>
    <w:qFormat/>
    <w:rsid w:val="00C744C4"/>
    <w:pPr>
      <w:numPr>
        <w:numId w:val="8"/>
      </w:numPr>
      <w:tabs>
        <w:tab w:val="num" w:pos="360"/>
      </w:tabs>
      <w:spacing w:after="240" w:line="288" w:lineRule="auto"/>
      <w:jc w:val="left"/>
    </w:pPr>
    <w:rPr>
      <w:rFonts w:ascii="Arial" w:hAnsi="Arial"/>
      <w:color w:val="0D0D0D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link w:val="ListParagraph"/>
    <w:uiPriority w:val="34"/>
    <w:qFormat/>
    <w:rsid w:val="00C744C4"/>
    <w:rPr>
      <w:rFonts w:ascii="Calibri" w:eastAsia="Calibri" w:hAnsi="Calibri" w:cs="Calibri"/>
      <w:sz w:val="22"/>
      <w:szCs w:val="22"/>
    </w:rPr>
  </w:style>
  <w:style w:type="paragraph" w:customStyle="1" w:styleId="StyleHeading4Italic">
    <w:name w:val="Style Heading 4 + Italic"/>
    <w:basedOn w:val="Heading4"/>
    <w:next w:val="Heading4"/>
    <w:rsid w:val="00CD22D5"/>
    <w:pPr>
      <w:keepNext w:val="0"/>
      <w:numPr>
        <w:ilvl w:val="0"/>
        <w:numId w:val="0"/>
      </w:numPr>
      <w:tabs>
        <w:tab w:val="num" w:pos="1144"/>
      </w:tabs>
      <w:spacing w:before="120" w:after="120"/>
      <w:ind w:left="1144" w:hanging="576"/>
      <w:jc w:val="left"/>
    </w:pPr>
    <w:rPr>
      <w:rFonts w:ascii="Arial" w:eastAsia="Calibri" w:hAnsi="Arial" w:cs="Arial"/>
      <w:i/>
      <w:iCs/>
      <w:szCs w:val="24"/>
      <w:lang w:eastAsia="en-GB"/>
    </w:rPr>
  </w:style>
  <w:style w:type="character" w:styleId="UnresolvedMention">
    <w:name w:val="Unresolved Mention"/>
    <w:uiPriority w:val="99"/>
    <w:unhideWhenUsed/>
    <w:rsid w:val="00B55F6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D1CCE"/>
    <w:pPr>
      <w:spacing w:before="100" w:beforeAutospacing="1" w:after="100" w:afterAutospacing="1"/>
      <w:jc w:val="left"/>
    </w:pPr>
    <w:rPr>
      <w:szCs w:val="24"/>
      <w:lang w:eastAsia="en-GB"/>
    </w:rPr>
  </w:style>
  <w:style w:type="character" w:customStyle="1" w:styleId="contextualspellingandgrammarerror">
    <w:name w:val="contextualspellingandgrammarerror"/>
    <w:rsid w:val="008E6A78"/>
  </w:style>
  <w:style w:type="character" w:styleId="Mention">
    <w:name w:val="Mention"/>
    <w:uiPriority w:val="99"/>
    <w:unhideWhenUsed/>
    <w:rsid w:val="0023195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41DFF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329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3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1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5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7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bel.hodder@hants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drew.minall@hant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mma.anderson@hants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tmtsp\Local%20Settings\Temp\InternetCache\Content.MSO\D77FC714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3DA4A4506724C8F7B650037CCADD2" ma:contentTypeVersion="6" ma:contentTypeDescription="Create a new document." ma:contentTypeScope="" ma:versionID="97ba4258d20eb5d9bd7f6f3e20ca69fe">
  <xsd:schema xmlns:xsd="http://www.w3.org/2001/XMLSchema" xmlns:xs="http://www.w3.org/2001/XMLSchema" xmlns:p="http://schemas.microsoft.com/office/2006/metadata/properties" xmlns:ns2="01ac84fa-f109-4e2c-b412-0b3349d73c52" xmlns:ns3="9f5620cb-cc21-4b3f-8fc3-aa3eb05bfe07" targetNamespace="http://schemas.microsoft.com/office/2006/metadata/properties" ma:root="true" ma:fieldsID="7732535cc7fccc33363d8f7b8fc94c2e" ns2:_="" ns3:_="">
    <xsd:import namespace="01ac84fa-f109-4e2c-b412-0b3349d73c52"/>
    <xsd:import namespace="9f5620cb-cc21-4b3f-8fc3-aa3eb05bf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84fa-f109-4e2c-b412-0b3349d73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20cb-cc21-4b3f-8fc3-aa3eb05bf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5620cb-cc21-4b3f-8fc3-aa3eb05bfe07">
      <UserInfo>
        <DisplayName>Minall, Andrew</DisplayName>
        <AccountId>41</AccountId>
        <AccountType/>
      </UserInfo>
      <UserInfo>
        <DisplayName>Boutflower, Gillian</DisplayName>
        <AccountId>27</AccountId>
        <AccountType/>
      </UserInfo>
      <UserInfo>
        <DisplayName>Anderson, Gemma</DisplayName>
        <AccountId>12</AccountId>
        <AccountType/>
      </UserInfo>
      <UserInfo>
        <DisplayName>Hodder, Annabel</DisplayName>
        <AccountId>1328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8DE9DBE-272A-4812-9720-FCBD4BC9E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601A5-A4EF-47F9-8F70-DAEDE819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84fa-f109-4e2c-b412-0b3349d73c52"/>
    <ds:schemaRef ds:uri="9f5620cb-cc21-4b3f-8fc3-aa3eb05bf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C2720-C85F-4615-9FC8-8AD0DEE969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745E11-3F29-404B-A6FD-C9FF21212D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5E9E5-87C8-481A-8ADB-2B59944F1F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f5620cb-cc21-4b3f-8fc3-aa3eb05bfe07"/>
    <ds:schemaRef ds:uri="01ac84fa-f109-4e2c-b412-0b3349d73c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D77FC714</Template>
  <TotalTime>0</TotalTime>
  <Pages>9</Pages>
  <Words>2309</Words>
  <Characters>12563</Characters>
  <Application>Microsoft Office Word</Application>
  <DocSecurity>4</DocSecurity>
  <Lines>104</Lines>
  <Paragraphs>29</Paragraphs>
  <ScaleCrop>false</ScaleCrop>
  <Company>Pinnacle Business Solutions</Company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Minall, Andrew</dc:creator>
  <cp:keywords/>
  <cp:lastModifiedBy>Faithfull, Jo</cp:lastModifiedBy>
  <cp:revision>2</cp:revision>
  <cp:lastPrinted>2017-12-06T02:01:00Z</cp:lastPrinted>
  <dcterms:created xsi:type="dcterms:W3CDTF">2023-05-16T20:35:00Z</dcterms:created>
  <dcterms:modified xsi:type="dcterms:W3CDTF">2023-05-16T20:35:00Z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/>
  </property>
  <property fmtid="{D5CDD505-2E9C-101B-9397-08002B2CF9AE}" pid="3" name="Commitee/Panel">
    <vt:lpwstr>None</vt:lpwstr>
  </property>
  <property fmtid="{D5CDD505-2E9C-101B-9397-08002B2CF9AE}" pid="4" name="_NewReviewCycle">
    <vt:lpwstr/>
  </property>
  <property fmtid="{D5CDD505-2E9C-101B-9397-08002B2CF9AE}" pid="5" name="ContentTypeId">
    <vt:lpwstr>0x0101001443DA4A4506724C8F7B650037CCADD2</vt:lpwstr>
  </property>
  <property fmtid="{D5CDD505-2E9C-101B-9397-08002B2CF9AE}" pid="6" name="aff368d56a7a41abac3dff9221a796c7">
    <vt:lpwstr>Budget Monitoring|c9054dd3-c8ef-4f50-a598-e503758367b1</vt:lpwstr>
  </property>
  <property fmtid="{D5CDD505-2E9C-101B-9397-08002B2CF9AE}" pid="7" name="h3c57ee0d733459794e5e77fcc72213d">
    <vt:lpwstr/>
  </property>
  <property fmtid="{D5CDD505-2E9C-101B-9397-08002B2CF9AE}" pid="8" name="Item ID">
    <vt:lpwstr/>
  </property>
  <property fmtid="{D5CDD505-2E9C-101B-9397-08002B2CF9AE}" pid="9" name="Active Document">
    <vt:lpwstr>1</vt:lpwstr>
  </property>
  <property fmtid="{D5CDD505-2E9C-101B-9397-08002B2CF9AE}" pid="10" name="cf18ccb67a8c47b4a12d68c41e3eb221">
    <vt:lpwstr/>
  </property>
  <property fmtid="{D5CDD505-2E9C-101B-9397-08002B2CF9AE}" pid="11" name="hc632fe273cb498aa970207d30c3b1d8">
    <vt:lpwstr/>
  </property>
  <property fmtid="{D5CDD505-2E9C-101B-9397-08002B2CF9AE}" pid="12" name="p90e31759909486091d47177bed7da9a">
    <vt:lpwstr/>
  </property>
  <property fmtid="{D5CDD505-2E9C-101B-9397-08002B2CF9AE}" pid="13" name="eeadced8a35a499eaa6ae428604d987c">
    <vt:lpwstr>2018/2019|ff3574ca-d52a-48e1-8167-04b4586b57aa</vt:lpwstr>
  </property>
  <property fmtid="{D5CDD505-2E9C-101B-9397-08002B2CF9AE}" pid="14" name="bb3aa47ebf1a448dac0ecc5996e92adc">
    <vt:lpwstr>2018|844dbc8a-5751-4f92-977c-e597d9787dec</vt:lpwstr>
  </property>
  <property fmtid="{D5CDD505-2E9C-101B-9397-08002B2CF9AE}" pid="15" name="Schools">
    <vt:lpwstr/>
  </property>
  <property fmtid="{D5CDD505-2E9C-101B-9397-08002B2CF9AE}" pid="16" name="Budget Monitoring (Finance)">
    <vt:lpwstr>56;#Budget Monitoring|c9054dd3-c8ef-4f50-a598-e503758367b1</vt:lpwstr>
  </property>
  <property fmtid="{D5CDD505-2E9C-101B-9397-08002B2CF9AE}" pid="17" name="Customer (Finance)">
    <vt:lpwstr/>
  </property>
  <property fmtid="{D5CDD505-2E9C-101B-9397-08002B2CF9AE}" pid="18" name="Library Location">
    <vt:lpwstr/>
  </property>
  <property fmtid="{D5CDD505-2E9C-101B-9397-08002B2CF9AE}" pid="19" name="Financial Year">
    <vt:lpwstr>52;#2018/2019|ff3574ca-d52a-48e1-8167-04b4586b57aa</vt:lpwstr>
  </property>
  <property fmtid="{D5CDD505-2E9C-101B-9397-08002B2CF9AE}" pid="20" name="_dlc_ExpireDate">
    <vt:lpwstr>2022-06-10T08:42:08Z</vt:lpwstr>
  </property>
  <property fmtid="{D5CDD505-2E9C-101B-9397-08002B2CF9AE}" pid="21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22" name="_dlc_policyId">
    <vt:lpwstr>0x0101004E1B537BC2B2AD43A5AF5311D732D3AA|1208973698</vt:lpwstr>
  </property>
  <property fmtid="{D5CDD505-2E9C-101B-9397-08002B2CF9AE}" pid="23" name="Calendar Year">
    <vt:lpwstr>53;#2018|844dbc8a-5751-4f92-977c-e597d9787dec</vt:lpwstr>
  </property>
  <property fmtid="{D5CDD505-2E9C-101B-9397-08002B2CF9AE}" pid="24" name="display_urn:schemas-microsoft-com:office:office#Editor">
    <vt:lpwstr>Colville, Laura</vt:lpwstr>
  </property>
  <property fmtid="{D5CDD505-2E9C-101B-9397-08002B2CF9AE}" pid="25" name="ComplianceAssetId">
    <vt:lpwstr/>
  </property>
  <property fmtid="{D5CDD505-2E9C-101B-9397-08002B2CF9AE}" pid="26" name="display_urn:schemas-microsoft-com:office:office#Author">
    <vt:lpwstr>Colville, Laura</vt:lpwstr>
  </property>
  <property fmtid="{D5CDD505-2E9C-101B-9397-08002B2CF9AE}" pid="27" name="SharedWithUsers">
    <vt:lpwstr/>
  </property>
  <property fmtid="{D5CDD505-2E9C-101B-9397-08002B2CF9AE}" pid="28" name="TaxCatchAll">
    <vt:lpwstr/>
  </property>
</Properties>
</file>